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CD19" w14:textId="03A939E1" w:rsidR="00391DBF" w:rsidRPr="00F039FB" w:rsidRDefault="007A2EF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Figure 5-</w:t>
      </w:r>
      <w:r w:rsidR="00744215">
        <w:rPr>
          <w:rFonts w:ascii="Arial" w:hAnsi="Arial"/>
          <w:b/>
          <w:sz w:val="28"/>
          <w:szCs w:val="28"/>
        </w:rPr>
        <w:t xml:space="preserve">source </w:t>
      </w:r>
      <w:r w:rsidR="0050796C">
        <w:rPr>
          <w:rFonts w:ascii="Arial" w:hAnsi="Arial"/>
          <w:b/>
          <w:sz w:val="28"/>
          <w:szCs w:val="28"/>
        </w:rPr>
        <w:t>data 2</w:t>
      </w:r>
      <w:bookmarkStart w:id="0" w:name="_GoBack"/>
      <w:bookmarkEnd w:id="0"/>
      <w:r w:rsidR="00AE3A61" w:rsidRPr="00F039FB">
        <w:rPr>
          <w:rFonts w:ascii="Arial" w:hAnsi="Arial"/>
          <w:b/>
          <w:sz w:val="28"/>
          <w:szCs w:val="28"/>
        </w:rPr>
        <w:t xml:space="preserve">. </w:t>
      </w:r>
      <w:r w:rsidR="00235CC2" w:rsidRPr="00F039FB">
        <w:rPr>
          <w:rFonts w:ascii="Arial" w:hAnsi="Arial"/>
          <w:b/>
          <w:sz w:val="28"/>
          <w:szCs w:val="28"/>
        </w:rPr>
        <w:t xml:space="preserve">Comparison of mouse </w:t>
      </w:r>
      <w:r w:rsidR="00C32FEF" w:rsidRPr="00F039FB">
        <w:rPr>
          <w:rFonts w:ascii="Arial" w:hAnsi="Arial" w:cs="Arial"/>
          <w:b/>
          <w:sz w:val="28"/>
          <w:szCs w:val="28"/>
        </w:rPr>
        <w:t xml:space="preserve">genes up- and down-regulated in </w:t>
      </w:r>
      <w:r w:rsidR="00C32FEF" w:rsidRPr="00F039FB">
        <w:rPr>
          <w:rFonts w:ascii="Arial" w:hAnsi="Arial" w:cs="Arial"/>
          <w:b/>
          <w:i/>
          <w:sz w:val="28"/>
          <w:szCs w:val="28"/>
        </w:rPr>
        <w:t>Cdx2</w:t>
      </w:r>
      <w:r w:rsidR="00C32FEF" w:rsidRPr="00F039FB">
        <w:rPr>
          <w:rFonts w:ascii="Arial" w:hAnsi="Arial" w:cs="Arial"/>
          <w:b/>
          <w:i/>
          <w:sz w:val="28"/>
          <w:szCs w:val="28"/>
          <w:vertAlign w:val="superscript"/>
        </w:rPr>
        <w:t>-/-</w:t>
      </w:r>
      <w:r w:rsidR="00C32FEF" w:rsidRPr="00F039FB">
        <w:rPr>
          <w:rFonts w:ascii="Arial" w:hAnsi="Arial" w:cs="Arial"/>
          <w:b/>
          <w:i/>
          <w:sz w:val="28"/>
          <w:szCs w:val="28"/>
        </w:rPr>
        <w:t>Braf</w:t>
      </w:r>
      <w:r w:rsidR="00C32FEF" w:rsidRPr="00F039FB">
        <w:rPr>
          <w:rFonts w:ascii="Arial" w:hAnsi="Arial" w:cs="Arial"/>
          <w:b/>
          <w:i/>
          <w:sz w:val="28"/>
          <w:szCs w:val="28"/>
          <w:vertAlign w:val="superscript"/>
        </w:rPr>
        <w:t>V600E</w:t>
      </w:r>
      <w:r w:rsidR="00C32FEF" w:rsidRPr="00F039FB">
        <w:rPr>
          <w:rFonts w:ascii="Arial" w:hAnsi="Arial" w:cs="Arial"/>
          <w:b/>
          <w:sz w:val="28"/>
          <w:szCs w:val="28"/>
        </w:rPr>
        <w:t xml:space="preserve"> tumors to </w:t>
      </w:r>
      <w:r w:rsidR="00F039FB" w:rsidRPr="00F039FB">
        <w:rPr>
          <w:rFonts w:ascii="Arial" w:hAnsi="Arial" w:cs="Arial"/>
          <w:b/>
          <w:sz w:val="28"/>
          <w:szCs w:val="28"/>
        </w:rPr>
        <w:t>gene signature</w:t>
      </w:r>
      <w:r w:rsidR="00211C92">
        <w:rPr>
          <w:rFonts w:ascii="Arial" w:hAnsi="Arial" w:cs="Arial"/>
          <w:b/>
          <w:sz w:val="28"/>
          <w:szCs w:val="28"/>
        </w:rPr>
        <w:t>s</w:t>
      </w:r>
      <w:r w:rsidR="00F039FB" w:rsidRPr="00F039FB">
        <w:rPr>
          <w:rFonts w:ascii="Arial" w:hAnsi="Arial" w:cs="Arial"/>
          <w:b/>
          <w:sz w:val="28"/>
          <w:szCs w:val="28"/>
        </w:rPr>
        <w:t xml:space="preserve"> from </w:t>
      </w:r>
      <w:r w:rsidR="00C32FEF" w:rsidRPr="00F039FB">
        <w:rPr>
          <w:rFonts w:ascii="Arial" w:hAnsi="Arial" w:cs="Arial"/>
          <w:b/>
          <w:sz w:val="28"/>
          <w:szCs w:val="28"/>
        </w:rPr>
        <w:t>human</w:t>
      </w:r>
      <w:r w:rsidR="00C608C7" w:rsidRPr="00F039FB">
        <w:rPr>
          <w:rFonts w:ascii="Arial" w:hAnsi="Arial" w:cs="Arial"/>
          <w:b/>
          <w:sz w:val="28"/>
          <w:szCs w:val="28"/>
        </w:rPr>
        <w:t xml:space="preserve"> CRCs with low Cdx2 expression and </w:t>
      </w:r>
      <w:r w:rsidR="00C608C7" w:rsidRPr="00F039FB">
        <w:rPr>
          <w:rFonts w:ascii="Arial" w:hAnsi="Arial" w:cs="Arial"/>
          <w:b/>
          <w:i/>
          <w:sz w:val="28"/>
          <w:szCs w:val="28"/>
        </w:rPr>
        <w:t>Braf</w:t>
      </w:r>
      <w:r w:rsidR="00C608C7" w:rsidRPr="00F039FB">
        <w:rPr>
          <w:rFonts w:ascii="Arial" w:hAnsi="Arial" w:cs="Arial"/>
          <w:b/>
          <w:i/>
          <w:sz w:val="28"/>
          <w:szCs w:val="28"/>
          <w:vertAlign w:val="superscript"/>
        </w:rPr>
        <w:t>V600E</w:t>
      </w:r>
      <w:r w:rsidR="00C608C7" w:rsidRPr="00F039FB">
        <w:rPr>
          <w:rFonts w:ascii="Arial" w:hAnsi="Arial" w:cs="Arial"/>
          <w:b/>
          <w:sz w:val="28"/>
          <w:szCs w:val="28"/>
        </w:rPr>
        <w:t xml:space="preserve"> mutation </w:t>
      </w:r>
      <w:r w:rsidR="00F039FB" w:rsidRPr="00F039FB">
        <w:rPr>
          <w:rFonts w:ascii="Arial" w:hAnsi="Arial" w:cs="Arial"/>
          <w:b/>
          <w:sz w:val="28"/>
          <w:szCs w:val="28"/>
        </w:rPr>
        <w:t xml:space="preserve">(TCGA data) </w:t>
      </w:r>
      <w:r w:rsidR="00C608C7" w:rsidRPr="00F039FB">
        <w:rPr>
          <w:rFonts w:ascii="Arial" w:hAnsi="Arial" w:cs="Arial"/>
          <w:b/>
          <w:sz w:val="28"/>
          <w:szCs w:val="28"/>
        </w:rPr>
        <w:t>and human</w:t>
      </w:r>
      <w:r w:rsidR="00F039FB" w:rsidRPr="00F039FB">
        <w:rPr>
          <w:rFonts w:ascii="Arial" w:hAnsi="Arial" w:cs="Arial"/>
          <w:b/>
          <w:sz w:val="28"/>
          <w:szCs w:val="28"/>
        </w:rPr>
        <w:t xml:space="preserve"> serrated carcinomas.</w:t>
      </w:r>
      <w:r w:rsidR="00C608C7" w:rsidRPr="00F039FB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650"/>
        <w:gridCol w:w="990"/>
        <w:gridCol w:w="955"/>
        <w:gridCol w:w="1210"/>
        <w:gridCol w:w="1209"/>
        <w:gridCol w:w="1486"/>
        <w:gridCol w:w="450"/>
        <w:gridCol w:w="720"/>
        <w:gridCol w:w="496"/>
        <w:gridCol w:w="944"/>
      </w:tblGrid>
      <w:tr w:rsidR="007A408A" w14:paraId="1254E948" w14:textId="77777777" w:rsidTr="007A408A">
        <w:trPr>
          <w:trHeight w:val="312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5727B9" w14:textId="77777777" w:rsidR="007A408A" w:rsidRPr="00F039FB" w:rsidRDefault="007A408A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039F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TCGA data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9BD6EC" w14:textId="77777777" w:rsidR="007A408A" w:rsidRDefault="007A408A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D3BF0B" w14:textId="796D9055" w:rsidR="007A408A" w:rsidRDefault="007A408A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18 V600E+CDX2lo vs. </w:t>
            </w:r>
            <w:r w:rsidRPr="00A34CFE">
              <w:rPr>
                <w:rFonts w:ascii="Calibri" w:hAnsi="Calibri" w:cs="Calibri"/>
                <w:sz w:val="24"/>
                <w:szCs w:val="24"/>
              </w:rPr>
              <w:t>104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WT+CDX2hi tumors,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&lt;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.01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FC&gt;1.3</w:t>
            </w:r>
          </w:p>
        </w:tc>
      </w:tr>
      <w:tr w:rsidR="0098120B" w14:paraId="24B811A6" w14:textId="77777777" w:rsidTr="007A408A">
        <w:trPr>
          <w:trHeight w:val="326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6902AA" w14:textId="77777777" w:rsidR="0098120B" w:rsidRDefault="0098120B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9816F7" w14:textId="77777777" w:rsidR="0098120B" w:rsidRDefault="0098120B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CB5C816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4C9E355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neither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02330F0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11920CE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0C72D4" w14:textId="77777777" w:rsidR="0098120B" w:rsidRDefault="0098120B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21E0C0" w14:textId="4F41B627" w:rsidR="0098120B" w:rsidRDefault="0098120B" w:rsidP="009812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Observed/Expected</w:t>
            </w:r>
          </w:p>
        </w:tc>
      </w:tr>
      <w:tr w:rsidR="00391DBF" w14:paraId="0EB50390" w14:textId="77777777" w:rsidTr="00AE3A61">
        <w:trPr>
          <w:trHeight w:val="312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89D65C" w14:textId="77777777" w:rsidR="00391DBF" w:rsidRDefault="00391DBF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Cdx2 by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Braf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F16514" w14:textId="77777777" w:rsidR="00391DBF" w:rsidRDefault="00391DBF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up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5BFB26B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2C79FA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350541F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BB7FD1C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75D876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FFE1709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C68AE3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28CAFF68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0.59</w:t>
            </w:r>
          </w:p>
        </w:tc>
      </w:tr>
      <w:tr w:rsidR="00391DBF" w14:paraId="6C84F57B" w14:textId="77777777" w:rsidTr="00AE3A61">
        <w:trPr>
          <w:trHeight w:val="312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56696D" w14:textId="77777777" w:rsidR="00391DBF" w:rsidRDefault="00391DBF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176AB0" w14:textId="77777777" w:rsidR="00391DBF" w:rsidRDefault="00391DBF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neither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4D7F3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3BD626A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9396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754DE2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639949E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13724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07501C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990C6E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B7E8BAA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C0B8F9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91DBF" w14:paraId="3A6EC78F" w14:textId="77777777" w:rsidTr="00AE3A61">
        <w:trPr>
          <w:trHeight w:val="326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CA6565" w14:textId="77777777" w:rsidR="00391DBF" w:rsidRDefault="00391DBF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&lt;.01, FC&gt;1.3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A0BB51" w14:textId="77777777" w:rsidR="00391DBF" w:rsidRDefault="00391DBF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F3EF449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2E5089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D48492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7EE7E9F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7C92B2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1496F3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EFAB6A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3A8FD1C2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1.88</w:t>
            </w:r>
          </w:p>
        </w:tc>
      </w:tr>
      <w:tr w:rsidR="00391DBF" w14:paraId="1EB47761" w14:textId="77777777" w:rsidTr="00AE3A61">
        <w:trPr>
          <w:trHeight w:val="312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EA88BF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8CF263" w14:textId="77777777" w:rsidR="00391DBF" w:rsidRDefault="00391DBF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03B8220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5FBEE60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10546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CF4B052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721CEC4A" w14:textId="77777777" w:rsidR="00391DBF" w:rsidRDefault="00391DBF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15630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A1BD0E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DEAAC4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49CB2A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3D94F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91DBF" w14:paraId="08620D43" w14:textId="77777777" w:rsidTr="00AE3A61">
        <w:trPr>
          <w:trHeight w:val="312"/>
        </w:trPr>
        <w:tc>
          <w:tcPr>
            <w:tcW w:w="60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548940" w14:textId="77777777" w:rsidR="00391DBF" w:rsidRDefault="00391DBF" w:rsidP="00AE3A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Mantel-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Haenszel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Chi-Square test of association,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-value: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221AE4" w14:textId="77777777" w:rsidR="00391DBF" w:rsidRDefault="00391DBF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4.5E-49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6E70FA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F0D99F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D98872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545587" w14:textId="77777777" w:rsidR="00391DBF" w:rsidRDefault="00391DBF" w:rsidP="00AE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E41E54B" w14:textId="77777777" w:rsidR="00111B94" w:rsidRDefault="00111B94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650"/>
        <w:gridCol w:w="990"/>
        <w:gridCol w:w="955"/>
        <w:gridCol w:w="1210"/>
        <w:gridCol w:w="1209"/>
        <w:gridCol w:w="1486"/>
        <w:gridCol w:w="450"/>
        <w:gridCol w:w="720"/>
        <w:gridCol w:w="496"/>
        <w:gridCol w:w="944"/>
      </w:tblGrid>
      <w:tr w:rsidR="007A408A" w14:paraId="4B0A2039" w14:textId="77777777" w:rsidTr="007A408A">
        <w:trPr>
          <w:trHeight w:val="312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B58336" w14:textId="77777777" w:rsidR="007A408A" w:rsidRPr="00F039FB" w:rsidRDefault="007A40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039F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Finnish data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775847" w14:textId="77777777" w:rsidR="007A408A" w:rsidRDefault="007A40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97A7B8" w14:textId="24B1003D" w:rsidR="007A408A" w:rsidRDefault="007A40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GSE4045, 8 serrated vs. 29 conventional tumors,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&lt;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.01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FC&gt;1.3</w:t>
            </w:r>
          </w:p>
        </w:tc>
      </w:tr>
      <w:tr w:rsidR="0098120B" w14:paraId="03E9D225" w14:textId="77777777" w:rsidTr="007A408A">
        <w:trPr>
          <w:trHeight w:val="326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C35BD2" w14:textId="77777777" w:rsidR="0098120B" w:rsidRDefault="009812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A64E3F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514A13F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37AF057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neither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E62F63A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058CC087" w14:textId="77777777" w:rsidR="0098120B" w:rsidRDefault="0098120B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C2AA07" w14:textId="77777777" w:rsidR="0098120B" w:rsidRDefault="009812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EC008" w14:textId="6879F7DC" w:rsidR="0098120B" w:rsidRDefault="0098120B" w:rsidP="009812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Observed/Expected</w:t>
            </w:r>
          </w:p>
        </w:tc>
      </w:tr>
      <w:tr w:rsidR="00AD1CD9" w14:paraId="62CA86CC" w14:textId="77777777" w:rsidTr="00AD1CD9">
        <w:trPr>
          <w:trHeight w:val="312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2F83BF" w14:textId="77777777" w:rsidR="00AD1CD9" w:rsidRDefault="00AD1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Cdx2 by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Braf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DE19F8" w14:textId="77777777" w:rsidR="00AD1CD9" w:rsidRDefault="00AD1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up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49701EE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31E234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4BF9718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5144205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358C89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25D51FD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1F382A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5BA9A9F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0.40</w:t>
            </w:r>
          </w:p>
        </w:tc>
      </w:tr>
      <w:tr w:rsidR="00AD1CD9" w14:paraId="344B7B97" w14:textId="77777777" w:rsidTr="00AD1CD9">
        <w:trPr>
          <w:trHeight w:val="312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A2336D" w14:textId="77777777" w:rsidR="00AD1CD9" w:rsidRDefault="00AD1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9BA4FA" w14:textId="77777777" w:rsidR="00AD1CD9" w:rsidRDefault="00AD1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neither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14F67F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C411A5C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8417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9D2C6B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60BDB50C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D785B1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0CC91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E24946A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5E9A1F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D1CD9" w14:paraId="4AC17857" w14:textId="77777777" w:rsidTr="00AD1CD9">
        <w:trPr>
          <w:trHeight w:val="326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D13203" w14:textId="77777777" w:rsidR="00AD1CD9" w:rsidRDefault="00AD1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&lt;.01, FC&gt;1.3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7874FB" w14:textId="77777777" w:rsidR="00AD1CD9" w:rsidRDefault="00AD1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2C9D80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A2E295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DB58FA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CF1498F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9FCB84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04F5541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867156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26B6B81A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1.19</w:t>
            </w:r>
          </w:p>
        </w:tc>
      </w:tr>
      <w:tr w:rsidR="00AD1CD9" w14:paraId="791FB5E8" w14:textId="77777777" w:rsidTr="00AD1CD9">
        <w:trPr>
          <w:trHeight w:val="312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32729A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636558" w14:textId="77777777" w:rsidR="00AD1CD9" w:rsidRDefault="00AD1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533D448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63BCE7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D52AF3A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78191E95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B72426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F2C6E7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EC58AEB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F5513" w14:textId="77777777" w:rsidR="00AD1CD9" w:rsidRDefault="00AD1CD9" w:rsidP="00CE67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D1CD9" w14:paraId="4C85F5FD" w14:textId="77777777" w:rsidTr="00AD1CD9">
        <w:trPr>
          <w:trHeight w:val="312"/>
        </w:trPr>
        <w:tc>
          <w:tcPr>
            <w:tcW w:w="601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09276CC" w14:textId="77777777" w:rsidR="00AD1CD9" w:rsidRDefault="00AD1C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Mantel-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Haenszel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Chi-Square test of association,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-value: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E45125" w14:textId="77777777" w:rsidR="00AD1CD9" w:rsidRDefault="00AD1CD9" w:rsidP="00FD6B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1.4E-11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09B488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5FB92C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4F98D0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A63682" w14:textId="77777777" w:rsidR="00AD1CD9" w:rsidRDefault="00AD1C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A3ABFCE" w14:textId="77777777" w:rsidR="00391DBF" w:rsidRDefault="00391DBF"/>
    <w:p w14:paraId="4ADD13F5" w14:textId="13B73440" w:rsidR="0024574E" w:rsidRDefault="00F039FB" w:rsidP="00F039FB">
      <w:r w:rsidRPr="00F039FB">
        <w:rPr>
          <w:rFonts w:ascii="Calibri" w:hAnsi="Calibri" w:cs="Calibri"/>
          <w:b/>
          <w:color w:val="000000"/>
          <w:sz w:val="24"/>
          <w:szCs w:val="24"/>
        </w:rPr>
        <w:t>TCGA data</w:t>
      </w:r>
      <w:r>
        <w:t xml:space="preserve">: </w:t>
      </w:r>
      <w:r w:rsidR="0024574E">
        <w:t>We downloaded Illumina Genome Analyzer mRNA-</w:t>
      </w:r>
      <w:proofErr w:type="spellStart"/>
      <w:r w:rsidR="0024574E">
        <w:t>seq</w:t>
      </w:r>
      <w:proofErr w:type="spellEnd"/>
      <w:r w:rsidR="0024574E">
        <w:t xml:space="preserve"> normalized reads for 263 primary colorectal adenocarcinoma tumors from Broad GDAC interfaces </w:t>
      </w:r>
      <w:r w:rsidR="001852F2">
        <w:t xml:space="preserve">to TCGA project data </w:t>
      </w:r>
      <w:r w:rsidR="0024574E">
        <w:t>(</w:t>
      </w:r>
      <w:hyperlink r:id="rId5" w:history="1">
        <w:r w:rsidR="0024574E" w:rsidRPr="003F6571">
          <w:rPr>
            <w:rStyle w:val="Hyperlink"/>
          </w:rPr>
          <w:t>https://gdac.broadinstitute.org/</w:t>
        </w:r>
      </w:hyperlink>
      <w:r w:rsidR="0024574E">
        <w:t xml:space="preserve">) as well as mutation data, which was available for </w:t>
      </w:r>
      <w:r w:rsidR="001C4F25">
        <w:t xml:space="preserve">212 of the samples. We divided the samples into 106 with above median CDX2 expression, 2 of which had BRAF V600E mutations (2%), and 106 with below median </w:t>
      </w:r>
      <w:r w:rsidR="00C00FE3">
        <w:t>expression</w:t>
      </w:r>
      <w:r w:rsidR="001C4F25">
        <w:t xml:space="preserve"> 18 of which had BRAF V600E mutations (17%, </w:t>
      </w:r>
      <w:r w:rsidR="001C4F25" w:rsidRPr="001C4F25">
        <w:rPr>
          <w:i/>
        </w:rPr>
        <w:t>P</w:t>
      </w:r>
      <w:r w:rsidR="001C4F25">
        <w:t>=0.0002, two-sided Fisher Exact Test).</w:t>
      </w:r>
      <w:r w:rsidR="00770B3F">
        <w:t xml:space="preserve"> After adding 1 to the normalized counts for each gene and log-transforming, we compared the 18 samples that had low CDX2 and V600E mutations to the 104 samples with high CDX2 that were not BRAF mutant, by two-sample T-tests, and selected genes as differing between the two groups if </w:t>
      </w:r>
      <w:r w:rsidR="00770B3F" w:rsidRPr="00770B3F">
        <w:rPr>
          <w:i/>
        </w:rPr>
        <w:t>P</w:t>
      </w:r>
      <w:r w:rsidR="00770B3F">
        <w:t xml:space="preserve"> for the test was less than 0.01, and if the fold-difference</w:t>
      </w:r>
      <w:r w:rsidR="006561D2">
        <w:t xml:space="preserve"> (“FC”)</w:t>
      </w:r>
      <w:r w:rsidR="00770B3F">
        <w:t xml:space="preserve"> in means was 1.3 or more (either up or down). </w:t>
      </w:r>
      <w:r w:rsidR="00770B3F" w:rsidRPr="00A34CFE">
        <w:t>This selected 6045 genes out of 20531 total genes</w:t>
      </w:r>
      <w:r w:rsidR="00391DBF" w:rsidRPr="00A34CFE">
        <w:t xml:space="preserve">.  We </w:t>
      </w:r>
      <w:r w:rsidR="006561D2" w:rsidRPr="00A34CFE">
        <w:t>computed the intersection of this selection to the similar selectio</w:t>
      </w:r>
      <w:r w:rsidR="006561D2">
        <w:t xml:space="preserve">n we had performed that ask for significant Cdx2 by </w:t>
      </w:r>
      <w:proofErr w:type="spellStart"/>
      <w:r w:rsidR="006561D2">
        <w:t>Braf</w:t>
      </w:r>
      <w:proofErr w:type="spellEnd"/>
      <w:r w:rsidR="006561D2">
        <w:t xml:space="preserve"> interactions in our mouse data, using only 1-to-1 best mouse to human homologs from NCBI </w:t>
      </w:r>
      <w:proofErr w:type="spellStart"/>
      <w:r w:rsidR="006561D2">
        <w:t>Homologene</w:t>
      </w:r>
      <w:proofErr w:type="spellEnd"/>
      <w:r w:rsidR="006561D2">
        <w:t xml:space="preserve"> build 68.</w:t>
      </w:r>
      <w:r w:rsidR="003F2FE4">
        <w:t xml:space="preserve">  The results are shown in the first table.  We observed an excess of genes found “up” in both data-sets as well as “down” in both data-sets as well as too few disagreements (</w:t>
      </w:r>
      <w:r w:rsidR="003F2FE4" w:rsidRPr="003F2FE4">
        <w:rPr>
          <w:i/>
        </w:rPr>
        <w:t>P</w:t>
      </w:r>
      <w:r w:rsidR="003F2FE4">
        <w:t>=4.5x10</w:t>
      </w:r>
      <w:r w:rsidR="003F2FE4" w:rsidRPr="00F45683">
        <w:rPr>
          <w:sz w:val="28"/>
          <w:szCs w:val="28"/>
          <w:vertAlign w:val="superscript"/>
        </w:rPr>
        <w:t>-49</w:t>
      </w:r>
      <w:r w:rsidR="003F2FE4">
        <w:t>, Mantel-</w:t>
      </w:r>
      <w:proofErr w:type="spellStart"/>
      <w:r w:rsidR="003F2FE4">
        <w:t>Haenszel</w:t>
      </w:r>
      <w:proofErr w:type="spellEnd"/>
      <w:r w:rsidR="003F2FE4">
        <w:t xml:space="preserve"> Chi-Square test of association).  The identities of all the genes in the intersections, their </w:t>
      </w:r>
      <w:r w:rsidR="003F2FE4" w:rsidRPr="003F2FE4">
        <w:rPr>
          <w:i/>
        </w:rPr>
        <w:t>P</w:t>
      </w:r>
      <w:r w:rsidR="003F2FE4">
        <w:t xml:space="preserve">-values, and fold-changes, can be obtained from our supplementary file in </w:t>
      </w:r>
      <w:r w:rsidR="003450C9">
        <w:t xml:space="preserve">NCBI’s </w:t>
      </w:r>
      <w:r w:rsidR="003F2FE4">
        <w:t>GEO series GSE84650.</w:t>
      </w:r>
    </w:p>
    <w:p w14:paraId="1E537AD8" w14:textId="7663448F" w:rsidR="00BB0B5F" w:rsidRDefault="00F039FB" w:rsidP="00F039FB">
      <w:r w:rsidRPr="00F039FB">
        <w:rPr>
          <w:rFonts w:ascii="Calibri" w:hAnsi="Calibri" w:cs="Calibri"/>
          <w:b/>
          <w:color w:val="000000"/>
          <w:sz w:val="24"/>
          <w:szCs w:val="24"/>
        </w:rPr>
        <w:t>Finnish data</w:t>
      </w:r>
      <w:r>
        <w:t xml:space="preserve">: </w:t>
      </w:r>
      <w:r w:rsidR="00BB0B5F">
        <w:t>We obtained expression data for 8 serrated and 29 conventional colorectal cancers from GEO series GSE4045</w:t>
      </w:r>
      <w:r w:rsidR="00F64A04">
        <w:t xml:space="preserve"> </w:t>
      </w:r>
      <w:r w:rsidR="00F64A04">
        <w:fldChar w:fldCharType="begin">
          <w:fldData xml:space="preserve">PEVuZE5vdGU+PENpdGU+PEF1dGhvcj5MYWlobzwvQXV0aG9yPjxZZWFyPjIwMDc8L1llYXI+PFJl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</w:fldData>
        </w:fldChar>
      </w:r>
      <w:r w:rsidR="00F64A04">
        <w:instrText xml:space="preserve"> ADDIN EN.CITE </w:instrText>
      </w:r>
      <w:r w:rsidR="00F64A04">
        <w:fldChar w:fldCharType="begin">
          <w:fldData xml:space="preserve">PEVuZE5vdGU+PENpdGU+PEF1dGhvcj5MYWlobzwvQXV0aG9yPjxZZWFyPjIwMDc8L1llYXI+PFJl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</w:fldData>
        </w:fldChar>
      </w:r>
      <w:r w:rsidR="00F64A04">
        <w:instrText xml:space="preserve"> ADDIN EN.CITE.DATA </w:instrText>
      </w:r>
      <w:r w:rsidR="00F64A04">
        <w:fldChar w:fldCharType="end"/>
      </w:r>
      <w:r w:rsidR="00F64A04">
        <w:fldChar w:fldCharType="separate"/>
      </w:r>
      <w:r w:rsidR="00F64A04">
        <w:rPr>
          <w:noProof/>
        </w:rPr>
        <w:t>(</w:t>
      </w:r>
      <w:hyperlink w:anchor="_ENREF_1" w:tooltip="Laiho, 2007 #47" w:history="1">
        <w:r w:rsidR="00F64A04">
          <w:rPr>
            <w:noProof/>
          </w:rPr>
          <w:t>Laiho et al. 2007</w:t>
        </w:r>
      </w:hyperlink>
      <w:r w:rsidR="00F64A04">
        <w:rPr>
          <w:noProof/>
        </w:rPr>
        <w:t>)</w:t>
      </w:r>
      <w:r w:rsidR="00F64A04">
        <w:fldChar w:fldCharType="end"/>
      </w:r>
      <w:r w:rsidR="00BB0B5F">
        <w:t xml:space="preserve">, which were assayed with </w:t>
      </w:r>
      <w:proofErr w:type="spellStart"/>
      <w:r w:rsidR="00BB0B5F">
        <w:t>Affymetrix</w:t>
      </w:r>
      <w:proofErr w:type="spellEnd"/>
      <w:r w:rsidR="00BB0B5F">
        <w:t xml:space="preserve"> HG_U133A arrays, and log-transformed the data after adding 1 to each probe-set’s estimated expression. We compared the two groups using two-sample T-tests and again selected probe-sets that gave P&lt;0.01 and fold-changes of at least 1.3</w:t>
      </w:r>
      <w:r w:rsidR="00BB0B5F" w:rsidRPr="00A34CFE">
        <w:t>, yielding 1442 selecte</w:t>
      </w:r>
      <w:r w:rsidR="00F45683" w:rsidRPr="00A34CFE">
        <w:t>d probe-sets out of 22283 total</w:t>
      </w:r>
      <w:r w:rsidR="001852F2" w:rsidRPr="00A34CFE">
        <w:t xml:space="preserve"> (representing 12468 distinct human genes)</w:t>
      </w:r>
      <w:r w:rsidR="00F45683" w:rsidRPr="00A34CFE">
        <w:t>.</w:t>
      </w:r>
      <w:r w:rsidR="00F45683">
        <w:t xml:space="preserve"> We </w:t>
      </w:r>
      <w:r w:rsidR="001852F2">
        <w:t>a</w:t>
      </w:r>
      <w:r w:rsidR="00F45683">
        <w:t>gain joined to our mouse data using 1-to-1 best homologs and computed the intersections as shown in the second table, which were again</w:t>
      </w:r>
      <w:r w:rsidR="001852F2">
        <w:t xml:space="preserve"> significantly </w:t>
      </w:r>
      <w:r w:rsidR="00F45683">
        <w:t>better than expected by chance (</w:t>
      </w:r>
      <w:r w:rsidR="00F45683" w:rsidRPr="003F2FE4">
        <w:rPr>
          <w:i/>
        </w:rPr>
        <w:t>P</w:t>
      </w:r>
      <w:r w:rsidR="00F45683">
        <w:t>=1.4x10</w:t>
      </w:r>
      <w:r w:rsidR="00F45683">
        <w:rPr>
          <w:sz w:val="28"/>
          <w:szCs w:val="28"/>
          <w:vertAlign w:val="superscript"/>
        </w:rPr>
        <w:t>-11</w:t>
      </w:r>
      <w:r w:rsidR="00F45683">
        <w:t>).  Details are available from our GEO series.</w:t>
      </w:r>
    </w:p>
    <w:p w14:paraId="039C65F9" w14:textId="77777777" w:rsidR="001852F2" w:rsidRDefault="001852F2" w:rsidP="001852F2">
      <w:pPr>
        <w:ind w:firstLine="720"/>
      </w:pPr>
    </w:p>
    <w:p w14:paraId="2200A919" w14:textId="22943D9F" w:rsidR="001852F2" w:rsidRPr="001852F2" w:rsidRDefault="001852F2" w:rsidP="00831C5D">
      <w:pPr>
        <w:rPr>
          <w:sz w:val="20"/>
          <w:szCs w:val="20"/>
        </w:rPr>
      </w:pPr>
    </w:p>
    <w:sectPr w:rsidR="001852F2" w:rsidRPr="001852F2" w:rsidSect="00AD1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ttvzewwb5z0suew5vcx995bfde0z2rdxrr0&quot;&gt;SAC_Cdx2Braf&lt;record-ids&gt;&lt;item&gt;47&lt;/item&gt;&lt;/record-ids&gt;&lt;/item&gt;&lt;/Libraries&gt;"/>
  </w:docVars>
  <w:rsids>
    <w:rsidRoot w:val="00AD1CD9"/>
    <w:rsid w:val="0005326A"/>
    <w:rsid w:val="000C7A53"/>
    <w:rsid w:val="00111B94"/>
    <w:rsid w:val="001852F2"/>
    <w:rsid w:val="001C4F25"/>
    <w:rsid w:val="00211C92"/>
    <w:rsid w:val="00235CC2"/>
    <w:rsid w:val="0024574E"/>
    <w:rsid w:val="00253EC8"/>
    <w:rsid w:val="002671CE"/>
    <w:rsid w:val="00297036"/>
    <w:rsid w:val="003013E7"/>
    <w:rsid w:val="003450C9"/>
    <w:rsid w:val="00370E43"/>
    <w:rsid w:val="00391DBF"/>
    <w:rsid w:val="003F2FE4"/>
    <w:rsid w:val="00466CA2"/>
    <w:rsid w:val="0050796C"/>
    <w:rsid w:val="00535AAD"/>
    <w:rsid w:val="006561D2"/>
    <w:rsid w:val="00744215"/>
    <w:rsid w:val="00770B3F"/>
    <w:rsid w:val="007A2EF7"/>
    <w:rsid w:val="007A408A"/>
    <w:rsid w:val="00831C5D"/>
    <w:rsid w:val="0098120B"/>
    <w:rsid w:val="009B652B"/>
    <w:rsid w:val="009C7E61"/>
    <w:rsid w:val="00A34CFE"/>
    <w:rsid w:val="00AD1CD9"/>
    <w:rsid w:val="00AE3A61"/>
    <w:rsid w:val="00B72BC7"/>
    <w:rsid w:val="00BB0B5F"/>
    <w:rsid w:val="00C00FE3"/>
    <w:rsid w:val="00C32FEF"/>
    <w:rsid w:val="00C471AB"/>
    <w:rsid w:val="00C608C7"/>
    <w:rsid w:val="00CE6742"/>
    <w:rsid w:val="00D871F4"/>
    <w:rsid w:val="00EC22EA"/>
    <w:rsid w:val="00F039FB"/>
    <w:rsid w:val="00F45683"/>
    <w:rsid w:val="00F64A04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2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dac.broadinstitute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rork</dc:creator>
  <cp:lastModifiedBy>LSA User</cp:lastModifiedBy>
  <cp:revision>6</cp:revision>
  <cp:lastPrinted>2016-11-30T21:16:00Z</cp:lastPrinted>
  <dcterms:created xsi:type="dcterms:W3CDTF">2016-11-30T21:16:00Z</dcterms:created>
  <dcterms:modified xsi:type="dcterms:W3CDTF">2016-12-28T15:57:00Z</dcterms:modified>
</cp:coreProperties>
</file>