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9DDA" w14:textId="6F19626D" w:rsidR="00986E91" w:rsidRPr="00BC5F00" w:rsidRDefault="00802A62" w:rsidP="00986E91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t>Figure 1—</w:t>
      </w:r>
      <w:r w:rsidR="00F255BE">
        <w:rPr>
          <w:rFonts w:ascii="Times New Roman" w:hAnsi="Times New Roman" w:cs="Times New Roman"/>
          <w:b/>
          <w:szCs w:val="24"/>
        </w:rPr>
        <w:t>source data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2</w:t>
      </w:r>
      <w:r w:rsidR="00986E91" w:rsidRPr="00AA5D4C">
        <w:rPr>
          <w:rFonts w:ascii="Times New Roman" w:hAnsi="Times New Roman" w:cs="Times New Roman"/>
          <w:b/>
          <w:szCs w:val="24"/>
        </w:rPr>
        <w:t>.</w:t>
      </w:r>
      <w:r w:rsidR="006D3748">
        <w:rPr>
          <w:rFonts w:ascii="Times New Roman" w:hAnsi="Times New Roman" w:cs="Times New Roman"/>
          <w:b/>
          <w:szCs w:val="24"/>
        </w:rPr>
        <w:t xml:space="preserve"> </w:t>
      </w:r>
      <w:r w:rsidR="00263915">
        <w:rPr>
          <w:rFonts w:ascii="Times New Roman" w:hAnsi="Times New Roman" w:cs="Times New Roman"/>
          <w:b/>
          <w:szCs w:val="24"/>
        </w:rPr>
        <w:t>Mutations used to track clade d</w:t>
      </w:r>
      <w:r w:rsidR="00986E91">
        <w:rPr>
          <w:rFonts w:ascii="Times New Roman" w:hAnsi="Times New Roman" w:cs="Times New Roman"/>
          <w:b/>
          <w:szCs w:val="24"/>
        </w:rPr>
        <w:t xml:space="preserve">ynamics </w:t>
      </w:r>
      <w:r w:rsidR="006D3748">
        <w:rPr>
          <w:rFonts w:ascii="Times New Roman" w:hAnsi="Times New Roman" w:cs="Times New Roman"/>
          <w:b/>
          <w:szCs w:val="24"/>
        </w:rPr>
        <w:t xml:space="preserve">in </w:t>
      </w:r>
      <w:r w:rsidR="00263915">
        <w:rPr>
          <w:rFonts w:ascii="Times New Roman" w:hAnsi="Times New Roman" w:cs="Times New Roman"/>
          <w:b/>
          <w:szCs w:val="24"/>
        </w:rPr>
        <w:t xml:space="preserve">the LTEE </w:t>
      </w:r>
    </w:p>
    <w:p w14:paraId="7FB95E74" w14:textId="77777777" w:rsidR="00986E91" w:rsidRDefault="00986E91" w:rsidP="00986E91"/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0"/>
        <w:gridCol w:w="2160"/>
        <w:gridCol w:w="2160"/>
        <w:gridCol w:w="2340"/>
      </w:tblGrid>
      <w:tr w:rsidR="00045788" w:rsidRPr="00AA5D4C" w14:paraId="565C6E9E" w14:textId="77777777" w:rsidTr="00A7757B">
        <w:trPr>
          <w:trHeight w:val="3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697311" w14:textId="77777777" w:rsidR="00045788" w:rsidRPr="000E547B" w:rsidRDefault="00045788" w:rsidP="00AB59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0E547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Generation</w:t>
            </w:r>
          </w:p>
        </w:tc>
        <w:tc>
          <w:tcPr>
            <w:tcW w:w="1260" w:type="dxa"/>
            <w:vAlign w:val="center"/>
          </w:tcPr>
          <w:p w14:paraId="7ED977D9" w14:textId="38AF78F3" w:rsidR="00045788" w:rsidRPr="000E547B" w:rsidRDefault="00045788" w:rsidP="00AB5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</w:pPr>
            <w:r w:rsidRPr="000E547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Sample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E6F8E4" w14:textId="49E8B0F5" w:rsidR="00045788" w:rsidRPr="000E547B" w:rsidRDefault="00045788" w:rsidP="00AB59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0E547B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metL</w:t>
            </w:r>
            <w:r w:rsidRPr="000E547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(C1)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13569F4" w14:textId="77777777" w:rsidR="00045788" w:rsidRPr="000E547B" w:rsidRDefault="00045788" w:rsidP="00AB59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0E547B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gltA1</w:t>
            </w:r>
            <w:r w:rsidRPr="000E547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(C3)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2E6C6A" w14:textId="77777777" w:rsidR="00045788" w:rsidRPr="000E547B" w:rsidRDefault="00045788" w:rsidP="00AB59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0E547B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iclR</w:t>
            </w:r>
            <w:r w:rsidRPr="000E547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(C2+C3)</w:t>
            </w:r>
          </w:p>
        </w:tc>
      </w:tr>
      <w:tr w:rsidR="00045788" w:rsidRPr="00AA5D4C" w14:paraId="4F0D9B7D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330C821C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20,000</w:t>
            </w:r>
          </w:p>
        </w:tc>
        <w:tc>
          <w:tcPr>
            <w:tcW w:w="1260" w:type="dxa"/>
            <w:vAlign w:val="center"/>
          </w:tcPr>
          <w:p w14:paraId="2AE08BBD" w14:textId="3EBFE15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REL8595M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7CCDA9" w14:textId="77D7BFA8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47.7% [39.5%–56.0%]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E0DE7E" w14:textId="4E9B4A08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[0.0%–2.4%]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C427B2" w14:textId="677F16F9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46.6% [37.8%–55.5%]</w:t>
            </w:r>
          </w:p>
        </w:tc>
      </w:tr>
      <w:tr w:rsidR="00045788" w:rsidRPr="00AA5D4C" w14:paraId="6D8BBA63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812DE8E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25,000</w:t>
            </w:r>
          </w:p>
        </w:tc>
        <w:tc>
          <w:tcPr>
            <w:tcW w:w="1260" w:type="dxa"/>
            <w:vAlign w:val="center"/>
          </w:tcPr>
          <w:p w14:paraId="3AE8266A" w14:textId="62357384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REL10177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05936F" w14:textId="035DA74F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19.9% [13.6%–27.4%]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D676E7" w14:textId="1A66D25E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41.3% [32.4%–50.6%]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9C6771" w14:textId="73004A53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69.8% [62.0%–76.8%]</w:t>
            </w:r>
          </w:p>
        </w:tc>
      </w:tr>
      <w:tr w:rsidR="00045788" w:rsidRPr="00AA5D4C" w14:paraId="61AFAADB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47A683E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30,000</w:t>
            </w:r>
          </w:p>
        </w:tc>
        <w:tc>
          <w:tcPr>
            <w:tcW w:w="1260" w:type="dxa"/>
            <w:vAlign w:val="center"/>
          </w:tcPr>
          <w:p w14:paraId="36CC09BF" w14:textId="379D7AC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REL10381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337F86" w14:textId="77168A7E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14.7% [9.2%–21.8%]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AD7E2C" w14:textId="44153DC6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[0.0%–2.9%]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CE3BB9" w14:textId="6FE5D50C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78.8% [68.2%–87.1%]</w:t>
            </w:r>
          </w:p>
        </w:tc>
      </w:tr>
      <w:tr w:rsidR="00045788" w:rsidRPr="00AA5D4C" w14:paraId="4D2D3C70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B3A7544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31,500</w:t>
            </w:r>
          </w:p>
        </w:tc>
        <w:tc>
          <w:tcPr>
            <w:tcW w:w="1260" w:type="dxa"/>
            <w:vAlign w:val="center"/>
          </w:tcPr>
          <w:p w14:paraId="7FA717BE" w14:textId="2F7BE662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REL10455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742E7B" w14:textId="4C9EB589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17.2% [11.7%–23.9%]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C9BE76" w14:textId="6EC010DB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[0.0%–2.4%]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9C6965" w14:textId="147A565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87.0% [81.0%–91.7%]</w:t>
            </w:r>
          </w:p>
        </w:tc>
      </w:tr>
      <w:tr w:rsidR="00045788" w:rsidRPr="00AA5D4C" w14:paraId="783A93D4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B74683B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32,000</w:t>
            </w:r>
          </w:p>
        </w:tc>
        <w:tc>
          <w:tcPr>
            <w:tcW w:w="1260" w:type="dxa"/>
            <w:vAlign w:val="center"/>
          </w:tcPr>
          <w:p w14:paraId="5D1DEB49" w14:textId="3F41F905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REL10467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77410F" w14:textId="4846BF19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50.2% [43.2%–57.3%]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7430EB" w14:textId="78718795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1.6% [0.3%–4.5%]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8577EC" w14:textId="57EBA4CE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43.0% [35.8%–50.5%]</w:t>
            </w:r>
          </w:p>
        </w:tc>
      </w:tr>
      <w:tr w:rsidR="00045788" w:rsidRPr="00AA5D4C" w14:paraId="528FD9C7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7A461882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32,500</w:t>
            </w:r>
          </w:p>
        </w:tc>
        <w:tc>
          <w:tcPr>
            <w:tcW w:w="1260" w:type="dxa"/>
            <w:vAlign w:val="center"/>
          </w:tcPr>
          <w:p w14:paraId="0560C173" w14:textId="60FB103A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REL10479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03D3AC" w14:textId="5FD83B1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61.9% [55.5%–68.0%]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4F835" w14:textId="512F2673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[0.0%–1.9%]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62E26A" w14:textId="5464AF8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36.7% [28.9%–45.1%]</w:t>
            </w:r>
          </w:p>
        </w:tc>
      </w:tr>
      <w:tr w:rsidR="00045788" w:rsidRPr="00AA5D4C" w14:paraId="67F73F54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73A2791D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33,000</w:t>
            </w:r>
          </w:p>
        </w:tc>
        <w:tc>
          <w:tcPr>
            <w:tcW w:w="1260" w:type="dxa"/>
            <w:vAlign w:val="center"/>
          </w:tcPr>
          <w:p w14:paraId="0A302A75" w14:textId="1AAA71F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REL10491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B1C859" w14:textId="6BE9FA31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42.7% [36.4%–49.2%]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40CEDC" w14:textId="534B95AE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14.3% [9.7%–20.0%]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4CD2B1" w14:textId="07998438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53.5% [45.7%–61.2%]</w:t>
            </w:r>
          </w:p>
        </w:tc>
      </w:tr>
      <w:tr w:rsidR="00045788" w:rsidRPr="00AA5D4C" w14:paraId="0F086B57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13455E99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33,500</w:t>
            </w:r>
          </w:p>
        </w:tc>
        <w:tc>
          <w:tcPr>
            <w:tcW w:w="1260" w:type="dxa"/>
            <w:vAlign w:val="center"/>
          </w:tcPr>
          <w:p w14:paraId="56109FDF" w14:textId="17E3C67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REL10591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F439EC" w14:textId="74D97955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[0.0%–1.2%]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52A57" w14:textId="218E0E4C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98.5% [94.6%–99.8%]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862837" w14:textId="5C423436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100.0% [97.6%–100.0%]</w:t>
            </w:r>
          </w:p>
        </w:tc>
      </w:tr>
      <w:tr w:rsidR="00045788" w:rsidRPr="00AA5D4C" w14:paraId="794FB9D2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10A9E54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34,000</w:t>
            </w:r>
          </w:p>
        </w:tc>
        <w:tc>
          <w:tcPr>
            <w:tcW w:w="1260" w:type="dxa"/>
            <w:vAlign w:val="center"/>
          </w:tcPr>
          <w:p w14:paraId="563E5CEE" w14:textId="18425924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REL10593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500316" w14:textId="56D220BA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[0.0%–2.1%]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C36BE9" w14:textId="33277F00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97.7% [93.5%–99.5%]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0FB7A4" w14:textId="2BCA4510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100.0% [98.0%–100.0%]</w:t>
            </w:r>
          </w:p>
        </w:tc>
      </w:tr>
      <w:tr w:rsidR="00045788" w:rsidRPr="00AA5D4C" w14:paraId="2BE6F3A2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029893B8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36,000</w:t>
            </w:r>
          </w:p>
        </w:tc>
        <w:tc>
          <w:tcPr>
            <w:tcW w:w="1260" w:type="dxa"/>
            <w:vAlign w:val="center"/>
          </w:tcPr>
          <w:p w14:paraId="160FB62E" w14:textId="4462889A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REL10810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31604A" w14:textId="317FFCB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[0.0%–2.0%]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250622" w14:textId="66F9A222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96.2% [91.3%–98.7%]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6906A4" w14:textId="629D416D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100.0% [98.0%–100.0%]</w:t>
            </w:r>
          </w:p>
        </w:tc>
      </w:tr>
      <w:tr w:rsidR="00045788" w:rsidRPr="00AA5D4C" w14:paraId="2F0272EB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61D4F6A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38,000</w:t>
            </w:r>
          </w:p>
        </w:tc>
        <w:tc>
          <w:tcPr>
            <w:tcW w:w="1260" w:type="dxa"/>
            <w:vAlign w:val="center"/>
          </w:tcPr>
          <w:p w14:paraId="105C16C4" w14:textId="131F6393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REL10884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699F45" w14:textId="73CCBC2E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[0.0%–3.6%]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1D99A6" w14:textId="23EAAE41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97.1% [91.7%–99.4%]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9C422E" w14:textId="53E97F86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99.2% [95.4%–100.0%]</w:t>
            </w:r>
          </w:p>
        </w:tc>
      </w:tr>
      <w:tr w:rsidR="00045788" w:rsidRPr="00AA5D4C" w14:paraId="3F819FBF" w14:textId="77777777" w:rsidTr="00A7757B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0BFF5C1E" w14:textId="7777777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40,000</w:t>
            </w:r>
          </w:p>
        </w:tc>
        <w:tc>
          <w:tcPr>
            <w:tcW w:w="1260" w:type="dxa"/>
            <w:vAlign w:val="center"/>
          </w:tcPr>
          <w:p w14:paraId="78F11A7F" w14:textId="363BB9E5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REL10969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877FA6" w14:textId="37E21FF7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0.0% [0.0%–2.4%]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7D7DA7" w14:textId="0F654724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99.0% [94.7%–100.0%]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4A37D3" w14:textId="620C8FC2" w:rsidR="00045788" w:rsidRPr="006E6A00" w:rsidRDefault="00045788" w:rsidP="00AB59A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6E6A00">
              <w:rPr>
                <w:rFonts w:ascii="Times New Roman" w:eastAsia="Times New Roman" w:hAnsi="Times New Roman" w:cs="Times New Roman"/>
                <w:sz w:val="20"/>
              </w:rPr>
              <w:t>100.0% [96.9%–100.0%]</w:t>
            </w:r>
          </w:p>
        </w:tc>
      </w:tr>
    </w:tbl>
    <w:p w14:paraId="6ADA4B5C" w14:textId="77777777" w:rsidR="00986E91" w:rsidRDefault="00986E91" w:rsidP="00986E91"/>
    <w:p w14:paraId="64364078" w14:textId="2EC499B3" w:rsidR="0066787E" w:rsidRDefault="00986E91" w:rsidP="00BA5C77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Three major clades 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(C1, C2, and C3)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diverged before 20,000 generations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in the focal </w:t>
      </w:r>
      <w:r w:rsidR="00EC48A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Ara–3 population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of the Lenski </w:t>
      </w:r>
      <w:r w:rsidR="00D8256A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LTEE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. 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For each whole-population sample </w:t>
      </w:r>
      <w:r w:rsidR="00007210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archived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a</w:t>
      </w:r>
      <w:r w:rsidR="00007210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t the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007210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specified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49747A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time point</w:t>
      </w:r>
      <w:r w:rsidR="00D8256A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,</w:t>
      </w:r>
      <w:r w:rsidR="00007210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we used metagenomic DNA sequencing to estimate the frequencies of 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the 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m</w:t>
      </w:r>
      <w:r w:rsidR="009E5EB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utations 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that </w:t>
      </w:r>
      <w:r w:rsidR="009E5EB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are characteristic of each clade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</w:t>
      </w:r>
      <w:r w:rsidR="000E547B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e.g., 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C2)</w:t>
      </w:r>
      <w:r w:rsidR="009E5EB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or superclade</w:t>
      </w:r>
      <w:r w:rsidR="00C63E1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(e.g., C2+C3)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. </w:t>
      </w:r>
      <w:r w:rsidR="00D8256A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Illumina reads were aligned by the </w:t>
      </w:r>
      <w:r w:rsidR="00D8256A" w:rsidRPr="002E69BF">
        <w:rPr>
          <w:rFonts w:ascii="Times New Roman" w:eastAsia="Times New Roman" w:hAnsi="Times New Roman" w:cs="Times New Roman"/>
          <w:bCs/>
          <w:i/>
          <w:color w:val="000000"/>
          <w:szCs w:val="24"/>
          <w:lang w:eastAsia="en-US"/>
        </w:rPr>
        <w:t>breseq</w:t>
      </w:r>
      <w:r w:rsidR="001E1B13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pipeline to the</w:t>
      </w:r>
      <w:r w:rsidR="009C541C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reference genome and the counts</w:t>
      </w:r>
      <w:r w:rsidR="001E1B13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of reads with the variant base versus the reference base were used to </w:t>
      </w:r>
      <w:r w:rsidR="007722A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estimate</w:t>
      </w:r>
      <w:r w:rsidR="00EE53A3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a </w:t>
      </w:r>
      <w:r w:rsidR="001E1B13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binomial 95% confidence interval</w:t>
      </w:r>
      <w:r w:rsidR="009C541C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for the frequency of that mutation in each sample. 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This information 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was used to construct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457691" w:rsidRPr="0045769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Figure 1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B</w:t>
      </w:r>
      <w:r w:rsidR="00B72A9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.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In particular, it shows that </w:t>
      </w:r>
      <w:r w:rsidR="00AF156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an alternative clade</w:t>
      </w:r>
      <w:r w:rsidR="006B72E5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</w:t>
      </w:r>
      <w:r w:rsidR="00C3261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C2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) proportionally increased in frequency at 30,000 generations when the clade with </w:t>
      </w:r>
      <w:r w:rsidR="00354169" w:rsidRPr="00354169">
        <w:rPr>
          <w:rFonts w:ascii="Times New Roman" w:eastAsia="Times New Roman" w:hAnsi="Times New Roman" w:cs="Times New Roman"/>
          <w:bCs/>
          <w:i/>
          <w:color w:val="000000"/>
          <w:szCs w:val="24"/>
          <w:lang w:eastAsia="en-US"/>
        </w:rPr>
        <w:t>gltA1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that eventually became Cit</w:t>
      </w:r>
      <w:r w:rsidR="00354169" w:rsidRPr="00354169">
        <w:rPr>
          <w:rFonts w:ascii="Times New Roman" w:eastAsia="Times New Roman" w:hAnsi="Times New Roman" w:cs="Times New Roman"/>
          <w:bCs/>
          <w:color w:val="000000"/>
          <w:szCs w:val="24"/>
          <w:vertAlign w:val="superscript"/>
          <w:lang w:eastAsia="en-US"/>
        </w:rPr>
        <w:t>+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</w:t>
      </w:r>
      <w:r w:rsidR="00C3261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C3</w:t>
      </w:r>
      <w:r w:rsidR="00354169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) decreased.</w:t>
      </w:r>
      <w:r w:rsidR="00FD4EA4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Note that t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he 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reported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frequencies </w:t>
      </w:r>
      <w:r w:rsidR="003719D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of each mutation </w:t>
      </w:r>
      <w:r w:rsidR="00EE6AFB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were</w:t>
      </w:r>
      <w:r w:rsidR="00626BE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estimated </w:t>
      </w:r>
      <w:r w:rsidR="00626BE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independently</w:t>
      </w:r>
      <w:r w:rsidR="00457691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,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based on </w:t>
      </w:r>
      <w:r w:rsidR="00626BEE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 distinct subset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of I</w:t>
      </w:r>
      <w:r w:rsidR="003719DD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l</w:t>
      </w:r>
      <w:r w:rsidR="009328A8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lumina </w:t>
      </w:r>
      <w:r w:rsidR="00457691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reads that aligned to </w:t>
      </w:r>
      <w:r w:rsidR="00626BEE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that</w:t>
      </w:r>
      <w:r w:rsidR="00457691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B770F6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particular </w:t>
      </w:r>
      <w:r w:rsidR="00457691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location in the reference genome. </w:t>
      </w:r>
      <w:r w:rsidR="00877584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Details for </w:t>
      </w:r>
      <w:r w:rsidR="006F1DB0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each mutation that was profiled</w:t>
      </w:r>
      <w:r w:rsidR="00877584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are as follows</w:t>
      </w:r>
      <w:r w:rsidR="00877584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:</w:t>
      </w:r>
      <w:r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913242" w:rsidRPr="00624342">
        <w:rPr>
          <w:rFonts w:ascii="Times New Roman" w:eastAsia="Times New Roman" w:hAnsi="Times New Roman" w:cs="Times New Roman"/>
          <w:bCs/>
          <w:i/>
          <w:color w:val="000000"/>
          <w:szCs w:val="24"/>
          <w:lang w:eastAsia="en-US"/>
        </w:rPr>
        <w:t>metL</w:t>
      </w:r>
      <w:r w:rsidR="00E2075F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(position 4,111,</w:t>
      </w:r>
      <w:r w:rsidR="000665FF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342;</w:t>
      </w:r>
      <w:r w:rsidR="00E2075F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mutation C→T), </w:t>
      </w:r>
      <w:r w:rsidR="00624342" w:rsidRPr="00DC121E">
        <w:rPr>
          <w:rFonts w:ascii="Times New Roman" w:eastAsia="Times New Roman" w:hAnsi="Times New Roman" w:cs="Times New Roman"/>
          <w:bCs/>
          <w:i/>
          <w:color w:val="000000"/>
          <w:szCs w:val="24"/>
          <w:lang w:eastAsia="en-US"/>
        </w:rPr>
        <w:t>gltA1</w:t>
      </w:r>
      <w:r w:rsidR="00624342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(position 734</w:t>
      </w:r>
      <w:r w:rsidR="000665FF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,</w:t>
      </w:r>
      <w:r w:rsidR="00624342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488</w:t>
      </w:r>
      <w:r w:rsidR="000665FF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;</w:t>
      </w:r>
      <w:r w:rsidR="00624342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mutation C→T</w:t>
      </w:r>
      <w:r w:rsid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),</w:t>
      </w:r>
      <w:r w:rsidR="00624342" w:rsidRP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 xml:space="preserve"> </w:t>
      </w:r>
      <w:r w:rsidR="00624342" w:rsidRPr="00624342">
        <w:rPr>
          <w:rFonts w:ascii="Times New Roman" w:eastAsia="Times New Roman" w:hAnsi="Times New Roman" w:cs="Times New Roman"/>
          <w:i/>
          <w:color w:val="000000"/>
          <w:szCs w:val="24"/>
          <w:lang w:eastAsia="en-US"/>
        </w:rPr>
        <w:t>iclR</w:t>
      </w:r>
      <w:r w:rsidR="00877584"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(</w:t>
      </w:r>
      <w:r w:rsidR="00877584"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position </w:t>
      </w:r>
      <w:r w:rsidR="00624342"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4,201,958</w:t>
      </w:r>
      <w:r w:rsidR="000665FF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;</w:t>
      </w:r>
      <w:r w:rsid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mutation</w:t>
      </w:r>
      <w:r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624342">
        <w:rPr>
          <w:rFonts w:ascii="Times New Roman" w:eastAsia="Times New Roman" w:hAnsi="Times New Roman" w:cs="Times New Roman"/>
          <w:bCs/>
          <w:color w:val="000000"/>
          <w:szCs w:val="24"/>
          <w:lang w:eastAsia="en-US"/>
        </w:rPr>
        <w:t>A→C</w:t>
      </w:r>
      <w:r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)</w:t>
      </w:r>
      <w:r w:rsidR="00877584" w:rsidRPr="00624342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 Positions are</w:t>
      </w:r>
      <w:r w:rsidR="0087758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relative to the ancestral REL606 strain genome (GenBank: </w:t>
      </w:r>
      <w:r w:rsidR="002C3A44" w:rsidRPr="002C3A4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NC_012967.1</w:t>
      </w:r>
      <w:r w:rsidR="002C3A4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).</w:t>
      </w:r>
    </w:p>
    <w:p w14:paraId="47492133" w14:textId="6AE2C737" w:rsidR="0066787E" w:rsidRDefault="0066787E">
      <w:pPr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</w:p>
    <w:sectPr w:rsidR="0066787E" w:rsidSect="00C21C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9"/>
    <w:rsid w:val="00003B31"/>
    <w:rsid w:val="00007210"/>
    <w:rsid w:val="00007770"/>
    <w:rsid w:val="0002210A"/>
    <w:rsid w:val="00024FFC"/>
    <w:rsid w:val="0002614B"/>
    <w:rsid w:val="00032B82"/>
    <w:rsid w:val="00045788"/>
    <w:rsid w:val="000665FF"/>
    <w:rsid w:val="0007052E"/>
    <w:rsid w:val="00080C20"/>
    <w:rsid w:val="00083CB6"/>
    <w:rsid w:val="00095D52"/>
    <w:rsid w:val="000B61B2"/>
    <w:rsid w:val="000E547B"/>
    <w:rsid w:val="000F130E"/>
    <w:rsid w:val="00115C07"/>
    <w:rsid w:val="001424EE"/>
    <w:rsid w:val="001C51DA"/>
    <w:rsid w:val="001C64FC"/>
    <w:rsid w:val="001D117E"/>
    <w:rsid w:val="001D4103"/>
    <w:rsid w:val="001E1B13"/>
    <w:rsid w:val="001E48EE"/>
    <w:rsid w:val="00235648"/>
    <w:rsid w:val="00263915"/>
    <w:rsid w:val="0026404D"/>
    <w:rsid w:val="0026430A"/>
    <w:rsid w:val="002C3A44"/>
    <w:rsid w:val="002E48CA"/>
    <w:rsid w:val="002E69BF"/>
    <w:rsid w:val="002F4277"/>
    <w:rsid w:val="00316088"/>
    <w:rsid w:val="003224E4"/>
    <w:rsid w:val="003528F0"/>
    <w:rsid w:val="00354169"/>
    <w:rsid w:val="003648CD"/>
    <w:rsid w:val="00364D28"/>
    <w:rsid w:val="00366089"/>
    <w:rsid w:val="003660C4"/>
    <w:rsid w:val="003719DD"/>
    <w:rsid w:val="003906E8"/>
    <w:rsid w:val="003956E7"/>
    <w:rsid w:val="003A1B40"/>
    <w:rsid w:val="003A383D"/>
    <w:rsid w:val="003B65FD"/>
    <w:rsid w:val="003C3F69"/>
    <w:rsid w:val="003C41D4"/>
    <w:rsid w:val="003D4787"/>
    <w:rsid w:val="00426D71"/>
    <w:rsid w:val="004369F1"/>
    <w:rsid w:val="00446F1D"/>
    <w:rsid w:val="00446F6C"/>
    <w:rsid w:val="00457691"/>
    <w:rsid w:val="0046505C"/>
    <w:rsid w:val="00480ACD"/>
    <w:rsid w:val="0048345D"/>
    <w:rsid w:val="00490492"/>
    <w:rsid w:val="004947BD"/>
    <w:rsid w:val="00494EAA"/>
    <w:rsid w:val="0049747A"/>
    <w:rsid w:val="004B58E2"/>
    <w:rsid w:val="00500847"/>
    <w:rsid w:val="005170E3"/>
    <w:rsid w:val="005372A4"/>
    <w:rsid w:val="0054177D"/>
    <w:rsid w:val="00541BBE"/>
    <w:rsid w:val="00546316"/>
    <w:rsid w:val="00592B97"/>
    <w:rsid w:val="005B729C"/>
    <w:rsid w:val="005D13F0"/>
    <w:rsid w:val="005F383B"/>
    <w:rsid w:val="005F5BA6"/>
    <w:rsid w:val="006003D5"/>
    <w:rsid w:val="00612BA4"/>
    <w:rsid w:val="00621112"/>
    <w:rsid w:val="00624342"/>
    <w:rsid w:val="006265D3"/>
    <w:rsid w:val="00626BEE"/>
    <w:rsid w:val="00641140"/>
    <w:rsid w:val="0066787E"/>
    <w:rsid w:val="0067389B"/>
    <w:rsid w:val="006779E1"/>
    <w:rsid w:val="006835B1"/>
    <w:rsid w:val="00691628"/>
    <w:rsid w:val="006A5507"/>
    <w:rsid w:val="006B59E1"/>
    <w:rsid w:val="006B72E5"/>
    <w:rsid w:val="006B75B7"/>
    <w:rsid w:val="006C0B7B"/>
    <w:rsid w:val="006D1A1E"/>
    <w:rsid w:val="006D3748"/>
    <w:rsid w:val="006E6A00"/>
    <w:rsid w:val="006F1DB0"/>
    <w:rsid w:val="006F7832"/>
    <w:rsid w:val="006F7B3A"/>
    <w:rsid w:val="00704FDD"/>
    <w:rsid w:val="00741EB4"/>
    <w:rsid w:val="007722A6"/>
    <w:rsid w:val="007C2784"/>
    <w:rsid w:val="007E2044"/>
    <w:rsid w:val="007E471E"/>
    <w:rsid w:val="00802A62"/>
    <w:rsid w:val="00802BDE"/>
    <w:rsid w:val="00820472"/>
    <w:rsid w:val="008236C1"/>
    <w:rsid w:val="00833B46"/>
    <w:rsid w:val="00846C26"/>
    <w:rsid w:val="008531B5"/>
    <w:rsid w:val="00876B34"/>
    <w:rsid w:val="00877584"/>
    <w:rsid w:val="008A2E3F"/>
    <w:rsid w:val="0091109D"/>
    <w:rsid w:val="00913242"/>
    <w:rsid w:val="009229F5"/>
    <w:rsid w:val="009328A8"/>
    <w:rsid w:val="00940269"/>
    <w:rsid w:val="00955DEC"/>
    <w:rsid w:val="00977D00"/>
    <w:rsid w:val="00986E91"/>
    <w:rsid w:val="009A0A45"/>
    <w:rsid w:val="009B3CE4"/>
    <w:rsid w:val="009B6C64"/>
    <w:rsid w:val="009C541C"/>
    <w:rsid w:val="009E1688"/>
    <w:rsid w:val="009E4360"/>
    <w:rsid w:val="009E5EBD"/>
    <w:rsid w:val="00A0365F"/>
    <w:rsid w:val="00A10A44"/>
    <w:rsid w:val="00A15A89"/>
    <w:rsid w:val="00A342B0"/>
    <w:rsid w:val="00A7757B"/>
    <w:rsid w:val="00AA4BEC"/>
    <w:rsid w:val="00AA5D4C"/>
    <w:rsid w:val="00AB59A4"/>
    <w:rsid w:val="00AC3DC7"/>
    <w:rsid w:val="00AE1789"/>
    <w:rsid w:val="00AF1566"/>
    <w:rsid w:val="00B36EB4"/>
    <w:rsid w:val="00B46CCC"/>
    <w:rsid w:val="00B52F54"/>
    <w:rsid w:val="00B541F9"/>
    <w:rsid w:val="00B675C1"/>
    <w:rsid w:val="00B72A96"/>
    <w:rsid w:val="00B770F6"/>
    <w:rsid w:val="00B85C49"/>
    <w:rsid w:val="00BA5BAC"/>
    <w:rsid w:val="00BA5C77"/>
    <w:rsid w:val="00BC046E"/>
    <w:rsid w:val="00BC54E5"/>
    <w:rsid w:val="00BC5F00"/>
    <w:rsid w:val="00BC7617"/>
    <w:rsid w:val="00C21C99"/>
    <w:rsid w:val="00C3261D"/>
    <w:rsid w:val="00C40556"/>
    <w:rsid w:val="00C50BBA"/>
    <w:rsid w:val="00C63E1E"/>
    <w:rsid w:val="00C66D08"/>
    <w:rsid w:val="00C91175"/>
    <w:rsid w:val="00CA1AFE"/>
    <w:rsid w:val="00CB7326"/>
    <w:rsid w:val="00CD60B3"/>
    <w:rsid w:val="00D25729"/>
    <w:rsid w:val="00D331C6"/>
    <w:rsid w:val="00D67B2E"/>
    <w:rsid w:val="00D8256A"/>
    <w:rsid w:val="00D9152E"/>
    <w:rsid w:val="00DA19CC"/>
    <w:rsid w:val="00DC121E"/>
    <w:rsid w:val="00DD6064"/>
    <w:rsid w:val="00DD6202"/>
    <w:rsid w:val="00DE69DE"/>
    <w:rsid w:val="00DF7BF1"/>
    <w:rsid w:val="00E05CD2"/>
    <w:rsid w:val="00E2075F"/>
    <w:rsid w:val="00E454F1"/>
    <w:rsid w:val="00E5706D"/>
    <w:rsid w:val="00E57A75"/>
    <w:rsid w:val="00E63726"/>
    <w:rsid w:val="00EA4050"/>
    <w:rsid w:val="00EA7F6B"/>
    <w:rsid w:val="00EC48A6"/>
    <w:rsid w:val="00ED66E6"/>
    <w:rsid w:val="00EE53A3"/>
    <w:rsid w:val="00EE6AFB"/>
    <w:rsid w:val="00F045FB"/>
    <w:rsid w:val="00F064BC"/>
    <w:rsid w:val="00F06AF8"/>
    <w:rsid w:val="00F108B4"/>
    <w:rsid w:val="00F255BE"/>
    <w:rsid w:val="00F33234"/>
    <w:rsid w:val="00F403B1"/>
    <w:rsid w:val="00F579A9"/>
    <w:rsid w:val="00F64DBA"/>
    <w:rsid w:val="00FA172C"/>
    <w:rsid w:val="00FC47DA"/>
    <w:rsid w:val="00FD4536"/>
    <w:rsid w:val="00FD4EA4"/>
    <w:rsid w:val="00FE16C2"/>
    <w:rsid w:val="00FF1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3C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character" w:styleId="CommentReference">
    <w:name w:val="annotation reference"/>
    <w:uiPriority w:val="99"/>
    <w:semiHidden/>
    <w:unhideWhenUsed/>
    <w:rsid w:val="005B7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9C"/>
    <w:rPr>
      <w:rFonts w:ascii="Cambria" w:eastAsia="MS Mincho" w:hAnsi="Cambri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9C"/>
    <w:rPr>
      <w:rFonts w:ascii="Cambria" w:eastAsia="MS Mincho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8E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48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character" w:styleId="CommentReference">
    <w:name w:val="annotation reference"/>
    <w:uiPriority w:val="99"/>
    <w:semiHidden/>
    <w:unhideWhenUsed/>
    <w:rsid w:val="005B7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9C"/>
    <w:rPr>
      <w:rFonts w:ascii="Cambria" w:eastAsia="MS Mincho" w:hAnsi="Cambri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9C"/>
    <w:rPr>
      <w:rFonts w:ascii="Cambria" w:eastAsia="MS Mincho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8E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48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Barrick</dc:creator>
  <cp:lastModifiedBy>J Gillbert</cp:lastModifiedBy>
  <cp:revision>11</cp:revision>
  <cp:lastPrinted>2015-06-10T21:54:00Z</cp:lastPrinted>
  <dcterms:created xsi:type="dcterms:W3CDTF">2015-06-08T19:33:00Z</dcterms:created>
  <dcterms:modified xsi:type="dcterms:W3CDTF">2015-11-27T15:31:00Z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equandt@gmail.com@www.mendeley.com</vt:lpwstr>
  </property>
  <property fmtid="{D5CDD505-2E9C-101B-9397-08002B2CF9AE}" pid="4" name="Mendeley Citation Style_1">
    <vt:lpwstr>http://www.zotero.org/styles/cell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