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8CFD0" w14:textId="1648726C" w:rsidR="006B59E1" w:rsidRDefault="008E3A38" w:rsidP="006B59E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Figure 1–</w:t>
      </w:r>
      <w:r w:rsidR="005C6427">
        <w:rPr>
          <w:rFonts w:ascii="Times New Roman" w:hAnsi="Times New Roman" w:cs="Times New Roman"/>
          <w:b/>
          <w:szCs w:val="24"/>
        </w:rPr>
        <w:t>source data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1</w:t>
      </w:r>
      <w:r w:rsidR="006B59E1" w:rsidRPr="00AA5D4C">
        <w:rPr>
          <w:rFonts w:ascii="Times New Roman" w:hAnsi="Times New Roman" w:cs="Times New Roman"/>
          <w:b/>
          <w:szCs w:val="24"/>
        </w:rPr>
        <w:t>.</w:t>
      </w:r>
      <w:r w:rsidR="00B94699">
        <w:rPr>
          <w:rFonts w:ascii="Times New Roman" w:hAnsi="Times New Roman" w:cs="Times New Roman"/>
          <w:b/>
          <w:szCs w:val="24"/>
        </w:rPr>
        <w:t xml:space="preserve"> </w:t>
      </w:r>
      <w:r w:rsidR="007F1419">
        <w:rPr>
          <w:rFonts w:ascii="Times New Roman" w:hAnsi="Times New Roman" w:cs="Times New Roman"/>
          <w:b/>
          <w:szCs w:val="24"/>
        </w:rPr>
        <w:t>D</w:t>
      </w:r>
      <w:r w:rsidR="00B94699">
        <w:rPr>
          <w:rFonts w:ascii="Times New Roman" w:hAnsi="Times New Roman" w:cs="Times New Roman"/>
          <w:b/>
          <w:szCs w:val="24"/>
        </w:rPr>
        <w:t>etails for</w:t>
      </w:r>
      <w:r w:rsidR="007F1419">
        <w:rPr>
          <w:rFonts w:ascii="Times New Roman" w:hAnsi="Times New Roman" w:cs="Times New Roman"/>
          <w:b/>
          <w:szCs w:val="24"/>
        </w:rPr>
        <w:t xml:space="preserve"> all</w:t>
      </w:r>
      <w:r w:rsidR="006B59E1">
        <w:rPr>
          <w:rFonts w:ascii="Times New Roman" w:hAnsi="Times New Roman" w:cs="Times New Roman"/>
          <w:b/>
          <w:szCs w:val="24"/>
        </w:rPr>
        <w:t xml:space="preserve"> </w:t>
      </w:r>
      <w:r w:rsidR="006B59E1" w:rsidRPr="000F130E">
        <w:rPr>
          <w:rFonts w:ascii="Times New Roman" w:hAnsi="Times New Roman" w:cs="Times New Roman"/>
          <w:b/>
          <w:i/>
          <w:szCs w:val="24"/>
        </w:rPr>
        <w:t>gltA</w:t>
      </w:r>
      <w:r w:rsidR="00B94699">
        <w:rPr>
          <w:rFonts w:ascii="Times New Roman" w:hAnsi="Times New Roman" w:cs="Times New Roman"/>
          <w:b/>
          <w:szCs w:val="24"/>
        </w:rPr>
        <w:t xml:space="preserve"> a</w:t>
      </w:r>
      <w:r w:rsidR="006B59E1">
        <w:rPr>
          <w:rFonts w:ascii="Times New Roman" w:hAnsi="Times New Roman" w:cs="Times New Roman"/>
          <w:b/>
          <w:szCs w:val="24"/>
        </w:rPr>
        <w:t>lleles</w:t>
      </w:r>
      <w:r w:rsidR="00B94699">
        <w:rPr>
          <w:rFonts w:ascii="Times New Roman" w:hAnsi="Times New Roman" w:cs="Times New Roman"/>
          <w:b/>
          <w:szCs w:val="24"/>
        </w:rPr>
        <w:t xml:space="preserve"> in this s</w:t>
      </w:r>
      <w:r w:rsidR="00F108B4">
        <w:rPr>
          <w:rFonts w:ascii="Times New Roman" w:hAnsi="Times New Roman" w:cs="Times New Roman"/>
          <w:b/>
          <w:szCs w:val="24"/>
        </w:rPr>
        <w:t>tudy</w:t>
      </w:r>
    </w:p>
    <w:p w14:paraId="0147E704" w14:textId="18859A89" w:rsidR="006B59E1" w:rsidRPr="00AA5D4C" w:rsidRDefault="006B59E1" w:rsidP="006B59E1">
      <w:pPr>
        <w:rPr>
          <w:rFonts w:ascii="Times New Roman" w:hAnsi="Times New Roman" w:cs="Times New Roman"/>
          <w:b/>
          <w:szCs w:val="24"/>
        </w:rPr>
      </w:pPr>
    </w:p>
    <w:tbl>
      <w:tblPr>
        <w:tblW w:w="9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5"/>
        <w:gridCol w:w="990"/>
        <w:gridCol w:w="1080"/>
        <w:gridCol w:w="2070"/>
        <w:gridCol w:w="4379"/>
      </w:tblGrid>
      <w:tr w:rsidR="00B85C49" w:rsidRPr="00AA5D4C" w14:paraId="71957284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0E879DC0" w14:textId="552A8854" w:rsidR="00B85C49" w:rsidRPr="003D4787" w:rsidRDefault="00DE69DE" w:rsidP="00DE69DE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n-US"/>
              </w:rPr>
              <w:t>Allele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7645CB" w14:textId="16AA4C07" w:rsidR="00B85C49" w:rsidRPr="003D4787" w:rsidRDefault="00B85C49" w:rsidP="00C63E1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n-US"/>
              </w:rPr>
              <w:t>Position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603F35" w14:textId="77777777" w:rsidR="00B85C49" w:rsidRPr="003D4787" w:rsidRDefault="00B85C49" w:rsidP="00C63E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n-US"/>
              </w:rPr>
              <w:t>Mutation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965BDFA" w14:textId="77777777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n-US"/>
              </w:rPr>
              <w:t>Effect</w:t>
            </w:r>
          </w:p>
        </w:tc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3E26CD0E" w14:textId="64CDA5D5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n-US"/>
              </w:rPr>
              <w:t>Source</w:t>
            </w:r>
          </w:p>
        </w:tc>
      </w:tr>
      <w:tr w:rsidR="00B85C49" w:rsidRPr="00AA5D4C" w14:paraId="7F768BC8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4E233E5A" w14:textId="2472AF96" w:rsidR="00B85C49" w:rsidRPr="003D4787" w:rsidRDefault="00B85C49" w:rsidP="00B85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  <w:lang w:eastAsia="en-US"/>
              </w:rPr>
              <w:t>gltA1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572964" w14:textId="6B8E81E0" w:rsidR="00B85C49" w:rsidRPr="003D4787" w:rsidRDefault="00B85C49" w:rsidP="00C63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734,488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DBA97B" w14:textId="77777777" w:rsidR="00B85C49" w:rsidRPr="003D4787" w:rsidRDefault="00B85C49" w:rsidP="00C63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C→T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D01D0CF" w14:textId="77777777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A258T (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G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CT→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A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CT)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75A2BE97" w14:textId="34512355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LTEE 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25K, 33K–40K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 (ZDB478, </w:t>
            </w:r>
            <w:r w:rsidRPr="005B729C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ZDB483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, all Cit</w:t>
            </w:r>
            <w:r w:rsidRPr="002C3A44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vertAlign w:val="superscript"/>
                <w:lang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)</w:t>
            </w:r>
          </w:p>
        </w:tc>
      </w:tr>
      <w:tr w:rsidR="00B85C49" w:rsidRPr="00AA5D4C" w14:paraId="586ED416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7B6FB661" w14:textId="5EC6CAEF" w:rsidR="00B85C49" w:rsidRPr="003D4787" w:rsidRDefault="00B85C49" w:rsidP="00B85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  <w:lang w:eastAsia="en-US"/>
              </w:rPr>
              <w:t>gltA2-1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DD6B46" w14:textId="55195DDE" w:rsidR="00B85C49" w:rsidRPr="003D4787" w:rsidRDefault="00B85C49" w:rsidP="00C63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735,273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691A66" w14:textId="77777777" w:rsidR="00B85C49" w:rsidRPr="003D4787" w:rsidRDefault="00B85C49" w:rsidP="00C63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A→G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92676DA" w14:textId="2AB05255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14 bases upstream</w:t>
            </w:r>
          </w:p>
        </w:tc>
        <w:tc>
          <w:tcPr>
            <w:tcW w:w="4379" w:type="dxa"/>
            <w:shd w:val="clear" w:color="auto" w:fill="auto"/>
            <w:noWrap/>
            <w:vAlign w:val="bottom"/>
            <w:hideMark/>
          </w:tcPr>
          <w:p w14:paraId="50E76732" w14:textId="5803F4DA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LTEE 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33K–33.5K</w:t>
            </w:r>
          </w:p>
        </w:tc>
      </w:tr>
      <w:tr w:rsidR="00B85C49" w:rsidRPr="00AA5D4C" w14:paraId="4CA97DF4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38E187DD" w14:textId="0B640A92" w:rsidR="00B85C49" w:rsidRPr="003D4787" w:rsidRDefault="00B85C49" w:rsidP="00B85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  <w:lang w:eastAsia="en-US"/>
              </w:rPr>
              <w:t>gltA2-2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CB318D" w14:textId="4932F247" w:rsidR="00B85C49" w:rsidRPr="003D4787" w:rsidRDefault="00B85C49" w:rsidP="00C63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735,109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38B4BB" w14:textId="77777777" w:rsidR="00B85C49" w:rsidRPr="003D4787" w:rsidRDefault="00B85C49" w:rsidP="00C63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C→T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E7A40DA" w14:textId="77777777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A51T (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G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CA→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A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CA)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14:paraId="07150690" w14:textId="4D607DC7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LTEE 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36K</w:t>
            </w:r>
          </w:p>
        </w:tc>
      </w:tr>
      <w:tr w:rsidR="00B85C49" w:rsidRPr="00AA5D4C" w14:paraId="23DCCDBF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307252E0" w14:textId="17F62B0E" w:rsidR="00B85C49" w:rsidRPr="003D4787" w:rsidRDefault="00B85C49" w:rsidP="00B85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  <w:lang w:eastAsia="en-US"/>
              </w:rPr>
              <w:t>gltA2-3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51E9F6" w14:textId="42856576" w:rsidR="00B85C49" w:rsidRPr="003D4787" w:rsidRDefault="00B85C49" w:rsidP="00C63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734,938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89408E" w14:textId="77777777" w:rsidR="00B85C49" w:rsidRPr="003D4787" w:rsidRDefault="00B85C49" w:rsidP="00C63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C→T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E7E7EA6" w14:textId="77777777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V108M (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G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TG→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A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TG)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14:paraId="69DB79CE" w14:textId="11EB8B15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LTEE 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36K</w:t>
            </w:r>
          </w:p>
        </w:tc>
      </w:tr>
      <w:tr w:rsidR="00B85C49" w:rsidRPr="00AA5D4C" w14:paraId="6E57EAAF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7C03BD74" w14:textId="59DE6B69" w:rsidR="00B85C49" w:rsidRPr="003D4787" w:rsidRDefault="00B85C49" w:rsidP="00B85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  <w:lang w:eastAsia="en-US"/>
              </w:rPr>
              <w:t>gltA2-4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8CDE02A" w14:textId="12922747" w:rsidR="00B85C49" w:rsidRPr="003D4787" w:rsidRDefault="00B85C49" w:rsidP="00C63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734,890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1DABE9" w14:textId="77777777" w:rsidR="00B85C49" w:rsidRPr="003D4787" w:rsidRDefault="00B85C49" w:rsidP="00C63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C→T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658DEC4" w14:textId="77777777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A124T (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G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CT→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A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CT)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14:paraId="570ED03F" w14:textId="79359758" w:rsidR="00B85C49" w:rsidRPr="003D4787" w:rsidRDefault="00B85C49" w:rsidP="00366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LTEE 3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8K–40K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 (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ZDB107, REL10979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)</w:t>
            </w:r>
          </w:p>
        </w:tc>
      </w:tr>
      <w:tr w:rsidR="00B85C49" w:rsidRPr="00AA5D4C" w14:paraId="6715A830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19FD39C1" w14:textId="44CB853E" w:rsidR="00B85C49" w:rsidRPr="003D4787" w:rsidRDefault="00B85C49" w:rsidP="00B85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  <w:lang w:eastAsia="en-US"/>
              </w:rPr>
              <w:t>gltA2-5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D327B2" w14:textId="0BF9863E" w:rsidR="00B85C49" w:rsidRPr="003D4787" w:rsidRDefault="00B85C49" w:rsidP="00C63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734,833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A6B5B2" w14:textId="77777777" w:rsidR="00B85C49" w:rsidRPr="003D4787" w:rsidRDefault="00B85C49" w:rsidP="00C63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C→T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E956C4B" w14:textId="77777777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A143T (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G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CG→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A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CG)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14:paraId="1DA53CAE" w14:textId="3B090B86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LTEE 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34K</w:t>
            </w:r>
          </w:p>
        </w:tc>
      </w:tr>
      <w:tr w:rsidR="00B85C49" w:rsidRPr="00AA5D4C" w14:paraId="258C62C7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093E90F8" w14:textId="4EC37D28" w:rsidR="00B85C49" w:rsidRPr="003D4787" w:rsidRDefault="00B85C49" w:rsidP="00B85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  <w:lang w:eastAsia="en-US"/>
              </w:rPr>
              <w:t>gltA2-6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4E2367E" w14:textId="7E9FBBE1" w:rsidR="00B85C49" w:rsidRPr="003D4787" w:rsidRDefault="00B85C49" w:rsidP="00C63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734,805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515FAF" w14:textId="77777777" w:rsidR="00B85C49" w:rsidRPr="003D4787" w:rsidRDefault="00B85C49" w:rsidP="00C63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A→G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DD0833C" w14:textId="77777777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V152A (G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T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T→G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C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T)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14:paraId="35D0C7C3" w14:textId="136212FC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LTEE (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ZDB96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)</w:t>
            </w:r>
          </w:p>
        </w:tc>
      </w:tr>
      <w:tr w:rsidR="00B85C49" w:rsidRPr="00AA5D4C" w14:paraId="52CCE757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479C5345" w14:textId="3CA53502" w:rsidR="00B85C49" w:rsidRPr="003D4787" w:rsidRDefault="00B85C49" w:rsidP="00B85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  <w:lang w:eastAsia="en-US"/>
              </w:rPr>
              <w:t>gltA2-7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5B62517" w14:textId="50F7B241" w:rsidR="00B85C49" w:rsidRPr="003D4787" w:rsidRDefault="00B85C49" w:rsidP="00C63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734,775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B9B10F" w14:textId="77777777" w:rsidR="00B85C49" w:rsidRPr="003D4787" w:rsidRDefault="00B85C49" w:rsidP="00C63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G→A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9CA4DC9" w14:textId="77777777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A162V (G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C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G→G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T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G)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14:paraId="6791789C" w14:textId="0AACCE72" w:rsidR="00B85C49" w:rsidRPr="003D4787" w:rsidRDefault="00B85C49" w:rsidP="00366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LTEE 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34K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 (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ZDB83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)</w:t>
            </w:r>
          </w:p>
        </w:tc>
      </w:tr>
      <w:tr w:rsidR="00B85C49" w:rsidRPr="00AA5D4C" w14:paraId="1FD2482F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71F165C6" w14:textId="28EF6086" w:rsidR="00B85C49" w:rsidRPr="003D4787" w:rsidRDefault="00B85C49" w:rsidP="00B85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  <w:lang w:eastAsia="en-US"/>
              </w:rPr>
              <w:t>gltA2-8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D3D950" w14:textId="497E49D8" w:rsidR="00B85C49" w:rsidRPr="003D4787" w:rsidRDefault="00B85C49" w:rsidP="00C63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734,533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448A55" w14:textId="77777777" w:rsidR="00B85C49" w:rsidRPr="003D4787" w:rsidRDefault="00B85C49" w:rsidP="00C63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C→T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37BC887" w14:textId="77777777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G243S (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G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GC→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A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GC)</w:t>
            </w:r>
          </w:p>
        </w:tc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740285C2" w14:textId="08EFFCF1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LTEE 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36K</w:t>
            </w:r>
          </w:p>
        </w:tc>
      </w:tr>
      <w:tr w:rsidR="00B85C49" w:rsidRPr="00AA5D4C" w14:paraId="7C7C260C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5414C27C" w14:textId="0256C382" w:rsidR="00B85C49" w:rsidRPr="003D4787" w:rsidRDefault="00B85C49" w:rsidP="00B85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  <w:lang w:eastAsia="en-US"/>
              </w:rPr>
              <w:t>gltA2-9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127EB58" w14:textId="0CE3C255" w:rsidR="00B85C49" w:rsidRPr="003D4787" w:rsidRDefault="00B85C49" w:rsidP="00C63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734,514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7C789E" w14:textId="77777777" w:rsidR="00B85C49" w:rsidRPr="003D4787" w:rsidRDefault="00B85C49" w:rsidP="00C63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G→A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92C2395" w14:textId="77777777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P249L (C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C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G→C</w:t>
            </w:r>
            <w:r w:rsidRPr="0002614B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  <w:lang w:eastAsia="en-US"/>
              </w:rPr>
              <w:t>T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G)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14:paraId="3702AB8E" w14:textId="7267EEC5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 xml:space="preserve">LTEE 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33.5K</w:t>
            </w:r>
          </w:p>
        </w:tc>
      </w:tr>
      <w:tr w:rsidR="00B85C49" w:rsidRPr="00AA5D4C" w14:paraId="4E13628E" w14:textId="77777777" w:rsidTr="00BC7617">
        <w:trPr>
          <w:trHeight w:val="300"/>
        </w:trPr>
        <w:tc>
          <w:tcPr>
            <w:tcW w:w="865" w:type="dxa"/>
            <w:vAlign w:val="center"/>
          </w:tcPr>
          <w:p w14:paraId="37D2A2DA" w14:textId="55970900" w:rsidR="00B85C49" w:rsidRPr="003D4787" w:rsidRDefault="00B85C49" w:rsidP="00B85C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  <w:lang w:eastAsia="en-US"/>
              </w:rPr>
              <w:t>gltA2-R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E159DCD" w14:textId="2994E728" w:rsidR="00B85C49" w:rsidRPr="003D4787" w:rsidRDefault="00940269" w:rsidP="00C63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94026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735,441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E539D7B" w14:textId="2169A36A" w:rsidR="00B85C49" w:rsidRPr="003D4787" w:rsidRDefault="00940269" w:rsidP="00C63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T</w:t>
            </w: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G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8CD79FB" w14:textId="432726E9" w:rsidR="00B85C49" w:rsidRPr="003D4787" w:rsidRDefault="0026404D" w:rsidP="00C911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26404D">
              <w:rPr>
                <w:rFonts w:ascii="Times New Roman" w:eastAsia="Times New Roman" w:hAnsi="Times New Roman"/>
                <w:sz w:val="20"/>
              </w:rPr>
              <w:t xml:space="preserve">182 </w:t>
            </w:r>
            <w:r w:rsidR="00C91175">
              <w:rPr>
                <w:rFonts w:ascii="Times New Roman" w:eastAsia="Times New Roman" w:hAnsi="Times New Roman"/>
                <w:sz w:val="20"/>
              </w:rPr>
              <w:t>bases</w:t>
            </w:r>
            <w:r w:rsidRPr="0026404D">
              <w:rPr>
                <w:rFonts w:ascii="Times New Roman" w:eastAsia="Times New Roman" w:hAnsi="Times New Roman"/>
                <w:sz w:val="20"/>
              </w:rPr>
              <w:t xml:space="preserve"> upstream </w:t>
            </w:r>
          </w:p>
        </w:tc>
        <w:tc>
          <w:tcPr>
            <w:tcW w:w="4379" w:type="dxa"/>
            <w:shd w:val="clear" w:color="auto" w:fill="auto"/>
            <w:noWrap/>
            <w:vAlign w:val="center"/>
          </w:tcPr>
          <w:p w14:paraId="26921A9B" w14:textId="67DE9B01" w:rsidR="00B85C49" w:rsidRPr="003D4787" w:rsidRDefault="00B85C49" w:rsidP="00C63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</w:pPr>
            <w:r w:rsidRPr="003D478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en-US"/>
              </w:rPr>
              <w:t>REGRES</w:t>
            </w:r>
          </w:p>
        </w:tc>
      </w:tr>
    </w:tbl>
    <w:p w14:paraId="60750217" w14:textId="77777777" w:rsidR="006B59E1" w:rsidRDefault="006B59E1" w:rsidP="006B59E1"/>
    <w:p w14:paraId="185BA0E3" w14:textId="6DC3C48A" w:rsidR="0002614B" w:rsidRDefault="00BC7617" w:rsidP="00BA5C77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BC7617">
        <w:rPr>
          <w:rFonts w:ascii="Times New Roman" w:hAnsi="Times New Roman" w:cs="Times New Roman"/>
          <w:b/>
          <w:szCs w:val="24"/>
        </w:rPr>
        <w:t>Allele</w:t>
      </w:r>
      <w:r w:rsidR="0002614B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="003A383D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 xml:space="preserve">esignation used in this </w:t>
      </w:r>
      <w:r w:rsidR="0002614B">
        <w:rPr>
          <w:rFonts w:ascii="Times New Roman" w:hAnsi="Times New Roman" w:cs="Times New Roman"/>
          <w:szCs w:val="24"/>
        </w:rPr>
        <w:t>study for this mutation.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ABBA8AB" w14:textId="154AF22B" w:rsidR="0002614B" w:rsidRDefault="002C3A44" w:rsidP="00BA5C77">
      <w:pPr>
        <w:spacing w:after="120"/>
        <w:jc w:val="both"/>
        <w:rPr>
          <w:rFonts w:ascii="Times New Roman" w:eastAsia="Times New Roman" w:hAnsi="Times New Roman" w:cs="Times New Roman"/>
          <w:color w:val="000000"/>
          <w:szCs w:val="24"/>
          <w:lang w:eastAsia="en-US"/>
        </w:rPr>
      </w:pPr>
      <w:r w:rsidRPr="00BC7617">
        <w:rPr>
          <w:rFonts w:ascii="Times New Roman" w:hAnsi="Times New Roman" w:cs="Times New Roman"/>
          <w:b/>
          <w:szCs w:val="24"/>
        </w:rPr>
        <w:t>Position</w:t>
      </w:r>
      <w:r w:rsidR="0002614B">
        <w:rPr>
          <w:rFonts w:ascii="Times New Roman" w:hAnsi="Times New Roman" w:cs="Times New Roman"/>
          <w:szCs w:val="24"/>
        </w:rPr>
        <w:t>:</w:t>
      </w:r>
      <w:r w:rsidR="006D3748">
        <w:rPr>
          <w:rFonts w:ascii="Times New Roman" w:hAnsi="Times New Roman" w:cs="Times New Roman"/>
          <w:szCs w:val="24"/>
        </w:rPr>
        <w:t xml:space="preserve"> </w:t>
      </w:r>
      <w:r w:rsidR="003A383D">
        <w:rPr>
          <w:rFonts w:ascii="Times New Roman" w:hAnsi="Times New Roman" w:cs="Times New Roman"/>
          <w:szCs w:val="24"/>
        </w:rPr>
        <w:t>M</w:t>
      </w:r>
      <w:r w:rsidR="0002614B">
        <w:rPr>
          <w:rFonts w:ascii="Times New Roman" w:hAnsi="Times New Roman" w:cs="Times New Roman"/>
          <w:szCs w:val="24"/>
        </w:rPr>
        <w:t xml:space="preserve">utated position </w:t>
      </w:r>
      <w:r w:rsidR="006D3748">
        <w:rPr>
          <w:rFonts w:ascii="Times New Roman" w:hAnsi="Times New Roman" w:cs="Times New Roman"/>
          <w:szCs w:val="24"/>
        </w:rPr>
        <w:t xml:space="preserve">in </w:t>
      </w:r>
      <w:r>
        <w:rPr>
          <w:rFonts w:ascii="Times New Roman" w:hAnsi="Times New Roman" w:cs="Times New Roman"/>
          <w:szCs w:val="24"/>
        </w:rPr>
        <w:t xml:space="preserve">ancestral REL606 </w:t>
      </w:r>
      <w:r w:rsidR="003C41D4">
        <w:rPr>
          <w:rFonts w:ascii="Times New Roman" w:hAnsi="Times New Roman" w:cs="Times New Roman"/>
          <w:szCs w:val="24"/>
        </w:rPr>
        <w:t xml:space="preserve">genome </w:t>
      </w:r>
      <w:r>
        <w:rPr>
          <w:rFonts w:ascii="Times New Roman" w:hAnsi="Times New Roman" w:cs="Times New Roman"/>
          <w:szCs w:val="24"/>
        </w:rPr>
        <w:t xml:space="preserve">coordinates </w:t>
      </w:r>
      <w:r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(GenBank: </w:t>
      </w:r>
      <w:r w:rsidRPr="002C3A44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NC_012967.1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).</w:t>
      </w:r>
      <w:r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</w:t>
      </w:r>
    </w:p>
    <w:p w14:paraId="53435534" w14:textId="3B6CA570" w:rsidR="0002614B" w:rsidRDefault="00BC7617" w:rsidP="00BA5C77">
      <w:pPr>
        <w:spacing w:after="120"/>
        <w:jc w:val="both"/>
        <w:rPr>
          <w:rFonts w:ascii="Times New Roman" w:eastAsia="Times New Roman" w:hAnsi="Times New Roman" w:cs="Times New Roman"/>
          <w:color w:val="000000"/>
          <w:szCs w:val="24"/>
          <w:lang w:eastAsia="en-US"/>
        </w:rPr>
      </w:pPr>
      <w:r w:rsidRPr="00BC7617">
        <w:rPr>
          <w:rFonts w:ascii="Times New Roman" w:eastAsia="Times New Roman" w:hAnsi="Times New Roman" w:cs="Times New Roman"/>
          <w:b/>
          <w:color w:val="000000"/>
          <w:szCs w:val="24"/>
          <w:lang w:eastAsia="en-US"/>
        </w:rPr>
        <w:t>Mutation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</w:t>
      </w:r>
      <w:r w:rsidR="003A383D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B</w:t>
      </w:r>
      <w:r w:rsidR="00FA172C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ase change caused by this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mutation</w:t>
      </w:r>
      <w:r w:rsidR="00E63726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on</w:t>
      </w:r>
      <w:r w:rsidR="003528F0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the </w:t>
      </w:r>
      <w:r w:rsidR="009A0A45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top</w:t>
      </w:r>
      <w:r w:rsidR="003528F0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strand of the genome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</w:t>
      </w:r>
    </w:p>
    <w:p w14:paraId="62F5EAEF" w14:textId="51016F78" w:rsidR="0002614B" w:rsidRDefault="00BC7617" w:rsidP="00BA5C77">
      <w:pPr>
        <w:spacing w:after="120"/>
        <w:jc w:val="both"/>
        <w:rPr>
          <w:rFonts w:ascii="Times New Roman" w:eastAsia="Times New Roman" w:hAnsi="Times New Roman" w:cs="Times New Roman"/>
          <w:color w:val="000000"/>
          <w:szCs w:val="24"/>
          <w:lang w:eastAsia="en-US"/>
        </w:rPr>
      </w:pPr>
      <w:r w:rsidRPr="00BC7617">
        <w:rPr>
          <w:rFonts w:ascii="Times New Roman" w:eastAsia="Times New Roman" w:hAnsi="Times New Roman" w:cs="Times New Roman"/>
          <w:b/>
          <w:color w:val="000000"/>
          <w:szCs w:val="24"/>
          <w:lang w:eastAsia="en-US"/>
        </w:rPr>
        <w:t>Effect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</w:t>
      </w:r>
      <w:r w:rsidR="006835B1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F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or mutations within the </w:t>
      </w:r>
      <w:r w:rsidR="00366089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protein 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coding </w:t>
      </w:r>
      <w:r w:rsidR="00366089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sequence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, the abbreviated amino acid change </w:t>
      </w:r>
      <w:r w:rsidR="003C3F69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is shown and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the codon </w:t>
      </w:r>
      <w:r w:rsidR="003C3F69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change is given in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parentheses</w:t>
      </w:r>
      <w:r w:rsidR="003C3F69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with the mutated base underlined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. For </w:t>
      </w:r>
      <w:r w:rsidR="006C0B7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noncoding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</w:t>
      </w:r>
      <w:r w:rsidR="003C3F69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mutations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, the number of bases upstream of the protein start codon</w:t>
      </w:r>
      <w:r w:rsidR="003C3F69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is shown</w:t>
      </w:r>
      <w:r w:rsidR="0002614B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  <w:lang w:eastAsia="en-US"/>
        </w:rPr>
        <w:t xml:space="preserve"> </w:t>
      </w:r>
    </w:p>
    <w:p w14:paraId="015377D5" w14:textId="5306FF9D" w:rsidR="006B59E1" w:rsidRPr="003660C4" w:rsidRDefault="00BC7617" w:rsidP="00BA5C77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BC7617">
        <w:rPr>
          <w:rFonts w:ascii="Times New Roman" w:hAnsi="Times New Roman" w:cs="Times New Roman"/>
          <w:b/>
          <w:szCs w:val="24"/>
        </w:rPr>
        <w:t>Source</w:t>
      </w:r>
      <w:r w:rsidR="0002614B">
        <w:rPr>
          <w:rFonts w:ascii="Times New Roman" w:hAnsi="Times New Roman" w:cs="Times New Roman"/>
          <w:szCs w:val="24"/>
        </w:rPr>
        <w:t>:</w:t>
      </w:r>
      <w:r w:rsidR="003660C4" w:rsidRPr="003660C4">
        <w:rPr>
          <w:rFonts w:ascii="Times New Roman" w:hAnsi="Times New Roman" w:cs="Times New Roman"/>
          <w:szCs w:val="24"/>
        </w:rPr>
        <w:t xml:space="preserve"> </w:t>
      </w:r>
      <w:r w:rsidR="003A383D">
        <w:rPr>
          <w:rFonts w:ascii="Times New Roman" w:hAnsi="Times New Roman" w:cs="Times New Roman"/>
          <w:szCs w:val="24"/>
        </w:rPr>
        <w:t>E</w:t>
      </w:r>
      <w:r w:rsidR="003660C4">
        <w:rPr>
          <w:rFonts w:ascii="Times New Roman" w:hAnsi="Times New Roman" w:cs="Times New Roman"/>
          <w:szCs w:val="24"/>
        </w:rPr>
        <w:t>xperiment</w:t>
      </w:r>
      <w:r w:rsidR="00DE69DE">
        <w:rPr>
          <w:rFonts w:ascii="Times New Roman" w:hAnsi="Times New Roman" w:cs="Times New Roman"/>
          <w:szCs w:val="24"/>
        </w:rPr>
        <w:t xml:space="preserve"> in which the </w:t>
      </w:r>
      <w:r w:rsidR="0002614B">
        <w:rPr>
          <w:rFonts w:ascii="Times New Roman" w:hAnsi="Times New Roman" w:cs="Times New Roman"/>
          <w:szCs w:val="24"/>
        </w:rPr>
        <w:t>allele was found</w:t>
      </w:r>
      <w:r w:rsidR="00977D00">
        <w:rPr>
          <w:rFonts w:ascii="Times New Roman" w:hAnsi="Times New Roman" w:cs="Times New Roman"/>
          <w:szCs w:val="24"/>
        </w:rPr>
        <w:t xml:space="preserve"> (LTEE or </w:t>
      </w:r>
      <w:r w:rsidR="003660C4">
        <w:rPr>
          <w:rFonts w:ascii="Times New Roman" w:hAnsi="Times New Roman" w:cs="Times New Roman"/>
          <w:szCs w:val="24"/>
        </w:rPr>
        <w:t>REGRES</w:t>
      </w:r>
      <w:r w:rsidR="0002614B">
        <w:rPr>
          <w:rFonts w:ascii="Times New Roman" w:hAnsi="Times New Roman" w:cs="Times New Roman"/>
          <w:szCs w:val="24"/>
        </w:rPr>
        <w:t xml:space="preserve">). </w:t>
      </w:r>
      <w:r w:rsidR="00500847">
        <w:rPr>
          <w:rFonts w:ascii="Times New Roman" w:hAnsi="Times New Roman" w:cs="Times New Roman"/>
          <w:szCs w:val="24"/>
        </w:rPr>
        <w:t xml:space="preserve">LTEE </w:t>
      </w:r>
      <w:r w:rsidR="0002614B">
        <w:rPr>
          <w:rFonts w:ascii="Times New Roman" w:hAnsi="Times New Roman" w:cs="Times New Roman"/>
          <w:szCs w:val="24"/>
        </w:rPr>
        <w:t xml:space="preserve">population samples </w:t>
      </w:r>
      <w:r w:rsidR="0007052E">
        <w:rPr>
          <w:rFonts w:ascii="Times New Roman" w:hAnsi="Times New Roman" w:cs="Times New Roman"/>
          <w:szCs w:val="24"/>
        </w:rPr>
        <w:t xml:space="preserve">are </w:t>
      </w:r>
      <w:r w:rsidR="00500847">
        <w:rPr>
          <w:rFonts w:ascii="Times New Roman" w:hAnsi="Times New Roman" w:cs="Times New Roman"/>
          <w:szCs w:val="24"/>
        </w:rPr>
        <w:t>indicated</w:t>
      </w:r>
      <w:r w:rsidR="0007052E">
        <w:rPr>
          <w:rFonts w:ascii="Times New Roman" w:hAnsi="Times New Roman" w:cs="Times New Roman"/>
          <w:szCs w:val="24"/>
        </w:rPr>
        <w:t xml:space="preserve"> by generation (e.g., 36K is </w:t>
      </w:r>
      <w:r w:rsidR="006835B1">
        <w:rPr>
          <w:rFonts w:ascii="Times New Roman" w:hAnsi="Times New Roman" w:cs="Times New Roman"/>
          <w:szCs w:val="24"/>
        </w:rPr>
        <w:t xml:space="preserve">the 36,000-generation </w:t>
      </w:r>
      <w:r w:rsidR="00F045FB">
        <w:rPr>
          <w:rFonts w:ascii="Times New Roman" w:hAnsi="Times New Roman" w:cs="Times New Roman"/>
          <w:szCs w:val="24"/>
        </w:rPr>
        <w:t>sample</w:t>
      </w:r>
      <w:r w:rsidR="0007052E">
        <w:rPr>
          <w:rFonts w:ascii="Times New Roman" w:hAnsi="Times New Roman" w:cs="Times New Roman"/>
          <w:szCs w:val="24"/>
        </w:rPr>
        <w:t>)</w:t>
      </w:r>
      <w:r w:rsidR="006835B1">
        <w:rPr>
          <w:rFonts w:ascii="Times New Roman" w:hAnsi="Times New Roman" w:cs="Times New Roman"/>
          <w:szCs w:val="24"/>
        </w:rPr>
        <w:t>,</w:t>
      </w:r>
      <w:r w:rsidR="0007052E">
        <w:rPr>
          <w:rFonts w:ascii="Times New Roman" w:hAnsi="Times New Roman" w:cs="Times New Roman"/>
          <w:szCs w:val="24"/>
        </w:rPr>
        <w:t xml:space="preserve"> </w:t>
      </w:r>
      <w:r w:rsidR="00F045FB">
        <w:rPr>
          <w:rFonts w:ascii="Times New Roman" w:hAnsi="Times New Roman" w:cs="Times New Roman"/>
          <w:szCs w:val="24"/>
        </w:rPr>
        <w:t xml:space="preserve">and </w:t>
      </w:r>
      <w:r w:rsidR="00500847">
        <w:rPr>
          <w:rFonts w:ascii="Times New Roman" w:hAnsi="Times New Roman" w:cs="Times New Roman"/>
          <w:szCs w:val="24"/>
        </w:rPr>
        <w:t xml:space="preserve">specific </w:t>
      </w:r>
      <w:r w:rsidR="0007052E">
        <w:rPr>
          <w:rFonts w:ascii="Times New Roman" w:hAnsi="Times New Roman" w:cs="Times New Roman"/>
          <w:szCs w:val="24"/>
        </w:rPr>
        <w:t xml:space="preserve">clonal isolates </w:t>
      </w:r>
      <w:r w:rsidR="00641140">
        <w:rPr>
          <w:rFonts w:ascii="Times New Roman" w:hAnsi="Times New Roman" w:cs="Times New Roman"/>
          <w:szCs w:val="24"/>
        </w:rPr>
        <w:t>containing the evolved allele</w:t>
      </w:r>
      <w:r w:rsidR="0007052E">
        <w:rPr>
          <w:rFonts w:ascii="Times New Roman" w:hAnsi="Times New Roman" w:cs="Times New Roman"/>
          <w:szCs w:val="24"/>
        </w:rPr>
        <w:t xml:space="preserve"> are shown in parentheses</w:t>
      </w:r>
      <w:r w:rsidR="00FD4536">
        <w:rPr>
          <w:rFonts w:ascii="Times New Roman" w:hAnsi="Times New Roman" w:cs="Times New Roman"/>
          <w:szCs w:val="24"/>
        </w:rPr>
        <w:t xml:space="preserve"> (e.g., ZDB83)</w:t>
      </w:r>
      <w:r w:rsidR="0007052E">
        <w:rPr>
          <w:rFonts w:ascii="Times New Roman" w:hAnsi="Times New Roman" w:cs="Times New Roman"/>
          <w:szCs w:val="24"/>
        </w:rPr>
        <w:t>.</w:t>
      </w:r>
    </w:p>
    <w:p w14:paraId="0944C84B" w14:textId="5D8A0D9B" w:rsidR="00986E91" w:rsidRPr="00457691" w:rsidRDefault="00986E91" w:rsidP="00B94699">
      <w:pPr>
        <w:rPr>
          <w:rFonts w:eastAsia="Times New Roman"/>
          <w:bCs/>
          <w:color w:val="000000"/>
        </w:rPr>
      </w:pPr>
    </w:p>
    <w:sectPr w:rsidR="00986E91" w:rsidRPr="00457691" w:rsidSect="00C21C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9"/>
    <w:rsid w:val="00003B31"/>
    <w:rsid w:val="00007210"/>
    <w:rsid w:val="00007770"/>
    <w:rsid w:val="0002210A"/>
    <w:rsid w:val="00024FFC"/>
    <w:rsid w:val="0002614B"/>
    <w:rsid w:val="00032B82"/>
    <w:rsid w:val="00045788"/>
    <w:rsid w:val="000665FF"/>
    <w:rsid w:val="0007052E"/>
    <w:rsid w:val="00080C20"/>
    <w:rsid w:val="00083CB6"/>
    <w:rsid w:val="00095D52"/>
    <w:rsid w:val="000B61B2"/>
    <w:rsid w:val="000E547B"/>
    <w:rsid w:val="000F130E"/>
    <w:rsid w:val="00115C07"/>
    <w:rsid w:val="001424EE"/>
    <w:rsid w:val="001C51DA"/>
    <w:rsid w:val="001C64FC"/>
    <w:rsid w:val="001D117E"/>
    <w:rsid w:val="001D4103"/>
    <w:rsid w:val="001E1B13"/>
    <w:rsid w:val="001E48EE"/>
    <w:rsid w:val="00235648"/>
    <w:rsid w:val="0026404D"/>
    <w:rsid w:val="0026430A"/>
    <w:rsid w:val="002C3A44"/>
    <w:rsid w:val="002E48CA"/>
    <w:rsid w:val="002E69BF"/>
    <w:rsid w:val="002F4277"/>
    <w:rsid w:val="00316088"/>
    <w:rsid w:val="003224E4"/>
    <w:rsid w:val="003528F0"/>
    <w:rsid w:val="00354169"/>
    <w:rsid w:val="003648CD"/>
    <w:rsid w:val="00364D28"/>
    <w:rsid w:val="00366089"/>
    <w:rsid w:val="003660C4"/>
    <w:rsid w:val="003719DD"/>
    <w:rsid w:val="003906E8"/>
    <w:rsid w:val="003956E7"/>
    <w:rsid w:val="003A1B40"/>
    <w:rsid w:val="003A383D"/>
    <w:rsid w:val="003B65FD"/>
    <w:rsid w:val="003C3F69"/>
    <w:rsid w:val="003C41D4"/>
    <w:rsid w:val="003D4787"/>
    <w:rsid w:val="00426D71"/>
    <w:rsid w:val="004369F1"/>
    <w:rsid w:val="00446F1D"/>
    <w:rsid w:val="00446F6C"/>
    <w:rsid w:val="00457691"/>
    <w:rsid w:val="0046505C"/>
    <w:rsid w:val="00480ACD"/>
    <w:rsid w:val="0048345D"/>
    <w:rsid w:val="00490492"/>
    <w:rsid w:val="004947BD"/>
    <w:rsid w:val="00494EAA"/>
    <w:rsid w:val="0049747A"/>
    <w:rsid w:val="004B58E2"/>
    <w:rsid w:val="00500847"/>
    <w:rsid w:val="005170E3"/>
    <w:rsid w:val="005372A4"/>
    <w:rsid w:val="0054177D"/>
    <w:rsid w:val="00541BBE"/>
    <w:rsid w:val="00546316"/>
    <w:rsid w:val="00592B97"/>
    <w:rsid w:val="005B729C"/>
    <w:rsid w:val="005C6427"/>
    <w:rsid w:val="005D13F0"/>
    <w:rsid w:val="005F383B"/>
    <w:rsid w:val="005F5BA6"/>
    <w:rsid w:val="006003D5"/>
    <w:rsid w:val="00612BA4"/>
    <w:rsid w:val="00621112"/>
    <w:rsid w:val="00624342"/>
    <w:rsid w:val="006265D3"/>
    <w:rsid w:val="00626BEE"/>
    <w:rsid w:val="00641140"/>
    <w:rsid w:val="0066787E"/>
    <w:rsid w:val="0067389B"/>
    <w:rsid w:val="006779E1"/>
    <w:rsid w:val="006835B1"/>
    <w:rsid w:val="00691628"/>
    <w:rsid w:val="006A5507"/>
    <w:rsid w:val="006B59E1"/>
    <w:rsid w:val="006B72E5"/>
    <w:rsid w:val="006B75B7"/>
    <w:rsid w:val="006C0B7B"/>
    <w:rsid w:val="006D1A1E"/>
    <w:rsid w:val="006D3748"/>
    <w:rsid w:val="006E6A00"/>
    <w:rsid w:val="006F1DB0"/>
    <w:rsid w:val="006F7832"/>
    <w:rsid w:val="006F7B3A"/>
    <w:rsid w:val="00704FDD"/>
    <w:rsid w:val="00741EB4"/>
    <w:rsid w:val="007722A6"/>
    <w:rsid w:val="007C2784"/>
    <w:rsid w:val="007E2044"/>
    <w:rsid w:val="007E471E"/>
    <w:rsid w:val="007F1419"/>
    <w:rsid w:val="00802BDE"/>
    <w:rsid w:val="00820472"/>
    <w:rsid w:val="008236C1"/>
    <w:rsid w:val="00833B46"/>
    <w:rsid w:val="00846C26"/>
    <w:rsid w:val="008531B5"/>
    <w:rsid w:val="00876B34"/>
    <w:rsid w:val="00877584"/>
    <w:rsid w:val="008A2E3F"/>
    <w:rsid w:val="008E3A38"/>
    <w:rsid w:val="0091109D"/>
    <w:rsid w:val="00913242"/>
    <w:rsid w:val="009229F5"/>
    <w:rsid w:val="009328A8"/>
    <w:rsid w:val="00940269"/>
    <w:rsid w:val="00955DEC"/>
    <w:rsid w:val="00977D00"/>
    <w:rsid w:val="00986E91"/>
    <w:rsid w:val="009A0A45"/>
    <w:rsid w:val="009B3CE4"/>
    <w:rsid w:val="009B6C64"/>
    <w:rsid w:val="009C541C"/>
    <w:rsid w:val="009E1688"/>
    <w:rsid w:val="009E4360"/>
    <w:rsid w:val="009E5EBD"/>
    <w:rsid w:val="00A0365F"/>
    <w:rsid w:val="00A10A44"/>
    <w:rsid w:val="00A15A89"/>
    <w:rsid w:val="00A342B0"/>
    <w:rsid w:val="00A7757B"/>
    <w:rsid w:val="00AA4BEC"/>
    <w:rsid w:val="00AA5D4C"/>
    <w:rsid w:val="00AB59A4"/>
    <w:rsid w:val="00AC3DC7"/>
    <w:rsid w:val="00AE1789"/>
    <w:rsid w:val="00AF1566"/>
    <w:rsid w:val="00B36EB4"/>
    <w:rsid w:val="00B46CCC"/>
    <w:rsid w:val="00B52F54"/>
    <w:rsid w:val="00B541F9"/>
    <w:rsid w:val="00B675C1"/>
    <w:rsid w:val="00B72A96"/>
    <w:rsid w:val="00B770F6"/>
    <w:rsid w:val="00B85C49"/>
    <w:rsid w:val="00B94699"/>
    <w:rsid w:val="00BA5BAC"/>
    <w:rsid w:val="00BA5C77"/>
    <w:rsid w:val="00BC046E"/>
    <w:rsid w:val="00BC54E5"/>
    <w:rsid w:val="00BC5F00"/>
    <w:rsid w:val="00BC7617"/>
    <w:rsid w:val="00C21C99"/>
    <w:rsid w:val="00C3261D"/>
    <w:rsid w:val="00C40556"/>
    <w:rsid w:val="00C50BBA"/>
    <w:rsid w:val="00C63E1E"/>
    <w:rsid w:val="00C66D08"/>
    <w:rsid w:val="00C91175"/>
    <w:rsid w:val="00CA1AFE"/>
    <w:rsid w:val="00CB7326"/>
    <w:rsid w:val="00CD60B3"/>
    <w:rsid w:val="00D25729"/>
    <w:rsid w:val="00D331C6"/>
    <w:rsid w:val="00D8256A"/>
    <w:rsid w:val="00D9152E"/>
    <w:rsid w:val="00DA19CC"/>
    <w:rsid w:val="00DC121E"/>
    <w:rsid w:val="00DD6064"/>
    <w:rsid w:val="00DD6202"/>
    <w:rsid w:val="00DE69DE"/>
    <w:rsid w:val="00DF7BF1"/>
    <w:rsid w:val="00E05CD2"/>
    <w:rsid w:val="00E2075F"/>
    <w:rsid w:val="00E454F1"/>
    <w:rsid w:val="00E5706D"/>
    <w:rsid w:val="00E57A75"/>
    <w:rsid w:val="00E63726"/>
    <w:rsid w:val="00EA4050"/>
    <w:rsid w:val="00EA7F6B"/>
    <w:rsid w:val="00EC48A6"/>
    <w:rsid w:val="00ED66E6"/>
    <w:rsid w:val="00EE53A3"/>
    <w:rsid w:val="00EE6AFB"/>
    <w:rsid w:val="00F045FB"/>
    <w:rsid w:val="00F064BC"/>
    <w:rsid w:val="00F06AF8"/>
    <w:rsid w:val="00F108B4"/>
    <w:rsid w:val="00F33234"/>
    <w:rsid w:val="00F403B1"/>
    <w:rsid w:val="00F579A9"/>
    <w:rsid w:val="00F64DBA"/>
    <w:rsid w:val="00FA172C"/>
    <w:rsid w:val="00FC47DA"/>
    <w:rsid w:val="00FD4536"/>
    <w:rsid w:val="00FD4EA4"/>
    <w:rsid w:val="00FE16C2"/>
    <w:rsid w:val="00FF1D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3C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character" w:styleId="CommentReference">
    <w:name w:val="annotation reference"/>
    <w:uiPriority w:val="99"/>
    <w:semiHidden/>
    <w:unhideWhenUsed/>
    <w:rsid w:val="005B72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29C"/>
    <w:rPr>
      <w:rFonts w:ascii="Cambria" w:eastAsia="MS Mincho" w:hAnsi="Cambria" w:cs="Times New Roman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29C"/>
    <w:rPr>
      <w:rFonts w:ascii="Cambria" w:eastAsia="MS Mincho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48E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48E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character" w:styleId="CommentReference">
    <w:name w:val="annotation reference"/>
    <w:uiPriority w:val="99"/>
    <w:semiHidden/>
    <w:unhideWhenUsed/>
    <w:rsid w:val="005B72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29C"/>
    <w:rPr>
      <w:rFonts w:ascii="Cambria" w:eastAsia="MS Mincho" w:hAnsi="Cambria" w:cs="Times New Roman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29C"/>
    <w:rPr>
      <w:rFonts w:ascii="Cambria" w:eastAsia="MS Mincho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48E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48E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Barrick</dc:creator>
  <cp:lastModifiedBy>J Gillbert</cp:lastModifiedBy>
  <cp:revision>11</cp:revision>
  <cp:lastPrinted>2015-06-10T21:54:00Z</cp:lastPrinted>
  <dcterms:created xsi:type="dcterms:W3CDTF">2015-06-08T19:33:00Z</dcterms:created>
  <dcterms:modified xsi:type="dcterms:W3CDTF">2015-11-27T15:31:00Z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equandt@gmail.com@www.mendeley.com</vt:lpwstr>
  </property>
  <property fmtid="{D5CDD505-2E9C-101B-9397-08002B2CF9AE}" pid="4" name="Mendeley Citation Style_1">
    <vt:lpwstr>http://www.zotero.org/styles/cell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http://www.zotero.org/styles/cell</vt:lpwstr>
  </property>
  <property fmtid="{D5CDD505-2E9C-101B-9397-08002B2CF9AE}" pid="12" name="Mendeley Recent Style Name 3_1">
    <vt:lpwstr>Cell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http://www.zotero.org/styles/pnas</vt:lpwstr>
  </property>
  <property fmtid="{D5CDD505-2E9C-101B-9397-08002B2CF9AE}" pid="24" name="Mendeley Recent Style Name 9_1">
    <vt:lpwstr>Proceedings of the National Academy of Sciences of the United States of America</vt:lpwstr>
  </property>
</Properties>
</file>