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Pr="00932681" w:rsidRDefault="00B508BC" w:rsidP="00B508BC">
      <w:pPr>
        <w:tabs>
          <w:tab w:val="right" w:pos="0"/>
        </w:tabs>
        <w:bidi w:val="0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r w:rsidRPr="00932681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 xml:space="preserve">Figure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6</w:t>
      </w:r>
      <w:r w:rsidRPr="00932681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 xml:space="preserve"> – source data 1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2121"/>
        <w:gridCol w:w="1220"/>
        <w:gridCol w:w="766"/>
        <w:gridCol w:w="1322"/>
        <w:gridCol w:w="1211"/>
      </w:tblGrid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ocial recognition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vs. All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Figure 6 – source data 1a  -</w:t>
            </w: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 one-sided corrected paired t-test (Fig.6d)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vs.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Enc.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-1.0045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-3.0458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-3.8628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Post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-1.4723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-0.3362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-2.3561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-2.6767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&lt;0.03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ocial recognition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- MOB vs. All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Figure 6 – source data 1b  -</w:t>
            </w: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 one-sided corrected paired t-test (Fig.6e)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vs.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n/</w:t>
            </w: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Enc.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-3.9002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0.4468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0.1002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Post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-2.3061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-0.3362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-0.1999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0.3943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Object 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recognition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vs. All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Figure 6 – source data 1c  -</w:t>
            </w: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 one-sided corrected paired t-test (Fig.6f)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vs.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508BC" w:rsidRPr="00916CA8" w:rsidTr="008C156C">
        <w:trPr>
          <w:trHeight w:val="30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Enc.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-0.3898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-1.4958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-1.8165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30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Post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-0.7966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-0.7301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-1.1095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-1.1095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Object 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recognition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- MOB vs. All</w:t>
            </w:r>
          </w:p>
        </w:tc>
      </w:tr>
      <w:tr w:rsidR="00B508BC" w:rsidRPr="00916CA8" w:rsidTr="008C156C">
        <w:trPr>
          <w:trHeight w:val="270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Figure 6 – source data 1d  -</w:t>
            </w: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 one-sided corrected paired t-test (Fig.6g)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vs.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508BC" w:rsidRPr="00916CA8" w:rsidTr="008C156C">
        <w:trPr>
          <w:trHeight w:val="30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Base vs. 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Enc.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-4.8906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0.4877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0.4902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30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Base vs.</w:t>
            </w: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Post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-1.5652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1.4481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0.4052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916CA8" w:rsidTr="008C156C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6CA8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-0.7301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916CA8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916CA8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</w:tbl>
    <w:p w:rsidR="00B508BC" w:rsidRDefault="00B508BC" w:rsidP="00B508BC">
      <w:pPr>
        <w:bidi w:val="0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B508BC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</w:rPr>
        <w:lastRenderedPageBreak/>
        <w:t xml:space="preserve">Figure 6 – source data 1: Assessment of change in theta Coherence from Base to either Enc. 1 or Post 1 </w:t>
      </w:r>
    </w:p>
    <w:p w:rsidR="00B508BC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The </w:t>
      </w:r>
      <w:r>
        <w:rPr>
          <w:rFonts w:asciiTheme="majorBidi" w:eastAsia="TimesNewRoman" w:hAnsiTheme="majorBidi" w:cstheme="majorBidi"/>
          <w:sz w:val="24"/>
          <w:szCs w:val="24"/>
        </w:rPr>
        <w:t>change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from Base to Enc. 1 (upper) and from Base to Post 1 (lower), in </w:t>
      </w:r>
      <w:r w:rsidRPr="00FB4A71">
        <w:rPr>
          <w:rFonts w:asciiTheme="majorBidi" w:eastAsia="TimesNewRoman" w:hAnsiTheme="majorBidi" w:cstheme="majorBidi"/>
          <w:sz w:val="24"/>
          <w:szCs w:val="24"/>
        </w:rPr>
        <w:t>theta coherence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 during social recognition </w:t>
      </w:r>
      <w:r w:rsidRPr="00FB4A71">
        <w:rPr>
          <w:rFonts w:asciiTheme="majorBidi" w:eastAsia="TimesNewRoman" w:hAnsiTheme="majorBidi" w:cstheme="majorBidi"/>
          <w:sz w:val="24"/>
          <w:szCs w:val="24"/>
        </w:rPr>
        <w:t>between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eastAsia="TimesNewRoman" w:hAnsiTheme="majorBidi" w:cstheme="majorBidi"/>
          <w:sz w:val="24"/>
          <w:szCs w:val="24"/>
        </w:rPr>
        <w:t>MeA</w:t>
      </w:r>
      <w:proofErr w:type="spellEnd"/>
      <w:r>
        <w:rPr>
          <w:rFonts w:asciiTheme="majorBidi" w:eastAsia="TimesNewRoman" w:hAnsiTheme="majorBidi" w:cstheme="majorBidi"/>
          <w:sz w:val="24"/>
          <w:szCs w:val="24"/>
        </w:rPr>
        <w:t xml:space="preserve"> and all other areas (</w:t>
      </w:r>
      <w:r w:rsidRPr="00932681">
        <w:rPr>
          <w:rFonts w:asciiTheme="majorBidi" w:eastAsia="TimesNewRoman" w:hAnsiTheme="majorBidi" w:cstheme="majorBidi"/>
          <w:b/>
          <w:bCs/>
          <w:sz w:val="24"/>
          <w:szCs w:val="24"/>
        </w:rPr>
        <w:t>1a</w:t>
      </w:r>
      <w:r>
        <w:rPr>
          <w:rFonts w:asciiTheme="majorBidi" w:eastAsia="TimesNewRoman" w:hAnsiTheme="majorBidi" w:cstheme="majorBidi"/>
          <w:sz w:val="24"/>
          <w:szCs w:val="24"/>
        </w:rPr>
        <w:t>)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</w:rPr>
        <w:t>and between the MOB and all areas (</w:t>
      </w:r>
      <w:r w:rsidRPr="00932681">
        <w:rPr>
          <w:rFonts w:asciiTheme="majorBidi" w:eastAsia="TimesNewRoman" w:hAnsiTheme="majorBidi" w:cstheme="majorBidi"/>
          <w:b/>
          <w:bCs/>
          <w:sz w:val="24"/>
          <w:szCs w:val="24"/>
        </w:rPr>
        <w:t>1b</w:t>
      </w:r>
      <w:r>
        <w:rPr>
          <w:rFonts w:asciiTheme="majorBidi" w:eastAsia="TimesNewRoman" w:hAnsiTheme="majorBidi" w:cstheme="majorBidi"/>
          <w:sz w:val="24"/>
          <w:szCs w:val="24"/>
        </w:rPr>
        <w:t>),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as well as during object recognition </w:t>
      </w:r>
      <w:r w:rsidRPr="00FB4A71">
        <w:rPr>
          <w:rFonts w:asciiTheme="majorBidi" w:eastAsia="TimesNewRoman" w:hAnsiTheme="majorBidi" w:cstheme="majorBidi"/>
          <w:sz w:val="24"/>
          <w:szCs w:val="24"/>
        </w:rPr>
        <w:t>between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eastAsia="TimesNewRoman" w:hAnsiTheme="majorBidi" w:cstheme="majorBidi"/>
          <w:sz w:val="24"/>
          <w:szCs w:val="24"/>
        </w:rPr>
        <w:t>MeA</w:t>
      </w:r>
      <w:proofErr w:type="spellEnd"/>
      <w:r>
        <w:rPr>
          <w:rFonts w:asciiTheme="majorBidi" w:eastAsia="TimesNewRoman" w:hAnsiTheme="majorBidi" w:cstheme="majorBidi"/>
          <w:sz w:val="24"/>
          <w:szCs w:val="24"/>
        </w:rPr>
        <w:t xml:space="preserve"> and all other areas (</w:t>
      </w:r>
      <w:r w:rsidRPr="00932681">
        <w:rPr>
          <w:rFonts w:asciiTheme="majorBidi" w:eastAsia="TimesNewRoman" w:hAnsiTheme="majorBidi" w:cstheme="majorBidi"/>
          <w:b/>
          <w:bCs/>
          <w:sz w:val="24"/>
          <w:szCs w:val="24"/>
        </w:rPr>
        <w:t>1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>c</w:t>
      </w:r>
      <w:r>
        <w:rPr>
          <w:rFonts w:asciiTheme="majorBidi" w:eastAsia="TimesNewRoman" w:hAnsiTheme="majorBidi" w:cstheme="majorBidi"/>
          <w:sz w:val="24"/>
          <w:szCs w:val="24"/>
        </w:rPr>
        <w:t>),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</w:rPr>
        <w:t>and between the MOB and all areas (</w:t>
      </w:r>
      <w:r w:rsidRPr="00932681">
        <w:rPr>
          <w:rFonts w:asciiTheme="majorBidi" w:eastAsia="TimesNewRoman" w:hAnsiTheme="majorBidi" w:cstheme="majorBidi"/>
          <w:b/>
          <w:bCs/>
          <w:sz w:val="24"/>
          <w:szCs w:val="24"/>
        </w:rPr>
        <w:t>1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>d</w:t>
      </w:r>
      <w:r>
        <w:rPr>
          <w:rFonts w:asciiTheme="majorBidi" w:eastAsia="TimesNewRoman" w:hAnsiTheme="majorBidi" w:cstheme="majorBidi"/>
          <w:sz w:val="24"/>
          <w:szCs w:val="24"/>
        </w:rPr>
        <w:t>),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</w:rPr>
        <w:t>was statistically validated using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paired t-</w:t>
      </w:r>
      <w:r w:rsidRPr="008E78DF">
        <w:rPr>
          <w:rFonts w:ascii="Times New Roman" w:eastAsia="TimesNewRoman" w:hAnsi="Times New Roman" w:cs="Times New Roman"/>
          <w:sz w:val="24"/>
          <w:szCs w:val="24"/>
        </w:rPr>
        <w:t xml:space="preserve">tests, corrected for multiple comparisons </w:t>
      </w:r>
      <w:r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8E78DF">
        <w:rPr>
          <w:rFonts w:ascii="Times New Roman" w:eastAsia="TimesNewRoman" w:hAnsi="Times New Roman" w:cs="Times New Roman"/>
          <w:sz w:val="24"/>
          <w:szCs w:val="24"/>
        </w:rPr>
        <w:t>Bonferroni</w:t>
      </w:r>
      <w:proofErr w:type="spellEnd"/>
      <w:r w:rsidRPr="008E78DF">
        <w:rPr>
          <w:rFonts w:ascii="Times New Roman" w:eastAsia="TimesNewRoman" w:hAnsi="Times New Roman" w:cs="Times New Roman"/>
          <w:sz w:val="24"/>
          <w:szCs w:val="24"/>
        </w:rPr>
        <w:t xml:space="preserve"> correction</w:t>
      </w:r>
      <w:r>
        <w:rPr>
          <w:rFonts w:ascii="Times New Roman" w:eastAsia="TimesNewRoman" w:hAnsi="Times New Roman" w:cs="Times New Roman"/>
          <w:sz w:val="24"/>
          <w:szCs w:val="24"/>
        </w:rPr>
        <w:t>).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 T</w:t>
      </w:r>
      <w:r w:rsidRPr="008E78DF">
        <w:rPr>
          <w:rFonts w:asciiTheme="majorBidi" w:eastAsia="TimesNewRoman" w:hAnsiTheme="majorBidi" w:cstheme="majorBidi"/>
          <w:sz w:val="24"/>
          <w:szCs w:val="24"/>
        </w:rPr>
        <w:t xml:space="preserve">he assumption of normality was assessed by </w:t>
      </w:r>
      <w:proofErr w:type="spellStart"/>
      <w:r w:rsidRPr="00FB01DB">
        <w:rPr>
          <w:rFonts w:asciiTheme="majorBidi" w:eastAsia="TimesNewRoman" w:hAnsiTheme="majorBidi" w:cstheme="majorBidi"/>
          <w:sz w:val="24"/>
          <w:szCs w:val="24"/>
        </w:rPr>
        <w:t>Lilliefors</w:t>
      </w:r>
      <w:proofErr w:type="spellEnd"/>
      <w:r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Pr="008E78DF">
        <w:rPr>
          <w:rFonts w:asciiTheme="majorBidi" w:eastAsia="TimesNewRoman" w:hAnsiTheme="majorBidi" w:cstheme="majorBidi"/>
          <w:sz w:val="24"/>
          <w:szCs w:val="24"/>
        </w:rPr>
        <w:t>and Shapiro-Wilk tests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>.</w:t>
      </w:r>
    </w:p>
    <w:p w:rsidR="00B508BC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B508BC" w:rsidSect="00FB7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lve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BC3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4C58"/>
    <w:multiLevelType w:val="hybridMultilevel"/>
    <w:tmpl w:val="10BE90B2"/>
    <w:lvl w:ilvl="0" w:tplc="4A52AF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3FC"/>
    <w:multiLevelType w:val="hybridMultilevel"/>
    <w:tmpl w:val="1F489150"/>
    <w:lvl w:ilvl="0" w:tplc="7FF6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270"/>
    <w:multiLevelType w:val="hybridMultilevel"/>
    <w:tmpl w:val="11CC332C"/>
    <w:lvl w:ilvl="0" w:tplc="12709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A6"/>
    <w:multiLevelType w:val="hybridMultilevel"/>
    <w:tmpl w:val="38D6CC2C"/>
    <w:lvl w:ilvl="0" w:tplc="44E2E6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F3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A5C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6DB8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F6F6A"/>
    <w:multiLevelType w:val="hybridMultilevel"/>
    <w:tmpl w:val="19401FF2"/>
    <w:lvl w:ilvl="0" w:tplc="BE929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FB3"/>
    <w:multiLevelType w:val="hybridMultilevel"/>
    <w:tmpl w:val="0EA65576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3A08"/>
    <w:multiLevelType w:val="hybridMultilevel"/>
    <w:tmpl w:val="D4147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93B88"/>
    <w:multiLevelType w:val="hybridMultilevel"/>
    <w:tmpl w:val="192C25CA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FA5"/>
    <w:multiLevelType w:val="hybridMultilevel"/>
    <w:tmpl w:val="A0566BE8"/>
    <w:lvl w:ilvl="0" w:tplc="5D248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2827"/>
    <w:multiLevelType w:val="hybridMultilevel"/>
    <w:tmpl w:val="1A06A8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3DC4"/>
    <w:multiLevelType w:val="hybridMultilevel"/>
    <w:tmpl w:val="2E34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B43"/>
    <w:multiLevelType w:val="hybridMultilevel"/>
    <w:tmpl w:val="1B480800"/>
    <w:lvl w:ilvl="0" w:tplc="2F203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5542"/>
    <w:multiLevelType w:val="hybridMultilevel"/>
    <w:tmpl w:val="AB14A26A"/>
    <w:lvl w:ilvl="0" w:tplc="E4ECB7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D8173B"/>
    <w:multiLevelType w:val="hybridMultilevel"/>
    <w:tmpl w:val="B72806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DD3"/>
    <w:multiLevelType w:val="hybridMultilevel"/>
    <w:tmpl w:val="D9181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97D"/>
    <w:multiLevelType w:val="hybridMultilevel"/>
    <w:tmpl w:val="9D7C2EFC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90C"/>
    <w:multiLevelType w:val="hybridMultilevel"/>
    <w:tmpl w:val="64D82A82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11E5"/>
    <w:multiLevelType w:val="hybridMultilevel"/>
    <w:tmpl w:val="528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CBA"/>
    <w:multiLevelType w:val="hybridMultilevel"/>
    <w:tmpl w:val="7310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6636"/>
    <w:multiLevelType w:val="hybridMultilevel"/>
    <w:tmpl w:val="BF4AF7CA"/>
    <w:lvl w:ilvl="0" w:tplc="41582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46A08"/>
    <w:multiLevelType w:val="hybridMultilevel"/>
    <w:tmpl w:val="5F42C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5AF"/>
    <w:multiLevelType w:val="hybridMultilevel"/>
    <w:tmpl w:val="7324AE10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E2CBF"/>
    <w:multiLevelType w:val="hybridMultilevel"/>
    <w:tmpl w:val="BB403F0C"/>
    <w:lvl w:ilvl="0" w:tplc="9782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D5C"/>
    <w:multiLevelType w:val="hybridMultilevel"/>
    <w:tmpl w:val="06983B74"/>
    <w:lvl w:ilvl="0" w:tplc="5A04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93732"/>
    <w:multiLevelType w:val="hybridMultilevel"/>
    <w:tmpl w:val="5D60BF2A"/>
    <w:lvl w:ilvl="0" w:tplc="2060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895"/>
    <w:multiLevelType w:val="hybridMultilevel"/>
    <w:tmpl w:val="D4B6EEA4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91C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ECB"/>
    <w:multiLevelType w:val="hybridMultilevel"/>
    <w:tmpl w:val="1116E656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EC7"/>
    <w:multiLevelType w:val="hybridMultilevel"/>
    <w:tmpl w:val="8D08179E"/>
    <w:lvl w:ilvl="0" w:tplc="6E06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4E81"/>
    <w:multiLevelType w:val="hybridMultilevel"/>
    <w:tmpl w:val="4A5ABD30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CAF"/>
    <w:multiLevelType w:val="hybridMultilevel"/>
    <w:tmpl w:val="1DFA40F2"/>
    <w:lvl w:ilvl="0" w:tplc="1C88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3789"/>
    <w:multiLevelType w:val="hybridMultilevel"/>
    <w:tmpl w:val="95623560"/>
    <w:lvl w:ilvl="0" w:tplc="5A8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70A96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22"/>
  </w:num>
  <w:num w:numId="6">
    <w:abstractNumId w:val="7"/>
  </w:num>
  <w:num w:numId="7">
    <w:abstractNumId w:val="18"/>
  </w:num>
  <w:num w:numId="8">
    <w:abstractNumId w:val="36"/>
  </w:num>
  <w:num w:numId="9">
    <w:abstractNumId w:val="32"/>
  </w:num>
  <w:num w:numId="10">
    <w:abstractNumId w:val="34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28"/>
  </w:num>
  <w:num w:numId="20">
    <w:abstractNumId w:val="35"/>
  </w:num>
  <w:num w:numId="21">
    <w:abstractNumId w:val="27"/>
  </w:num>
  <w:num w:numId="22">
    <w:abstractNumId w:val="3"/>
  </w:num>
  <w:num w:numId="23">
    <w:abstractNumId w:val="2"/>
  </w:num>
  <w:num w:numId="24">
    <w:abstractNumId w:val="8"/>
  </w:num>
  <w:num w:numId="25">
    <w:abstractNumId w:val="15"/>
  </w:num>
  <w:num w:numId="26">
    <w:abstractNumId w:val="26"/>
  </w:num>
  <w:num w:numId="27">
    <w:abstractNumId w:val="23"/>
  </w:num>
  <w:num w:numId="28">
    <w:abstractNumId w:val="25"/>
  </w:num>
  <w:num w:numId="29">
    <w:abstractNumId w:val="14"/>
  </w:num>
  <w:num w:numId="30">
    <w:abstractNumId w:val="20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C"/>
    <w:rsid w:val="00557307"/>
    <w:rsid w:val="0065659A"/>
    <w:rsid w:val="00B508B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2014-12-18T19:37:00Z</dcterms:created>
  <dcterms:modified xsi:type="dcterms:W3CDTF">2014-12-18T19:37:00Z</dcterms:modified>
</cp:coreProperties>
</file>